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9E934" w14:textId="77777777" w:rsidR="00612C2E" w:rsidRPr="0041464B" w:rsidRDefault="00612C2E" w:rsidP="00B72EA9">
      <w:pPr>
        <w:pStyle w:val="Tekstpodstawowy"/>
        <w:jc w:val="both"/>
        <w:rPr>
          <w:rFonts w:ascii="Times New Roman"/>
        </w:rPr>
      </w:pPr>
    </w:p>
    <w:p w14:paraId="4AF456B1" w14:textId="77777777" w:rsidR="00612C2E" w:rsidRPr="0041464B" w:rsidRDefault="00612C2E" w:rsidP="00B72EA9">
      <w:pPr>
        <w:pStyle w:val="Tekstpodstawowy"/>
        <w:spacing w:before="7"/>
        <w:jc w:val="both"/>
        <w:rPr>
          <w:rFonts w:ascii="Times New Roman"/>
          <w:sz w:val="19"/>
        </w:rPr>
      </w:pPr>
    </w:p>
    <w:p w14:paraId="1AAEA63C" w14:textId="77777777" w:rsidR="00612C2E" w:rsidRPr="0041464B" w:rsidRDefault="008B73E3" w:rsidP="00B72EA9">
      <w:pPr>
        <w:pStyle w:val="Tekstpodstawowy"/>
        <w:spacing w:before="1"/>
        <w:ind w:left="5831"/>
        <w:jc w:val="both"/>
      </w:pPr>
      <w:r w:rsidRPr="0041464B">
        <w:t>Załącznik do Uchwały Rady Nadzorczej</w:t>
      </w:r>
    </w:p>
    <w:p w14:paraId="392C0EC9" w14:textId="06912460" w:rsidR="00612C2E" w:rsidRPr="0041464B" w:rsidRDefault="00BA725A" w:rsidP="00B72EA9">
      <w:pPr>
        <w:pStyle w:val="Tekstpodstawowy"/>
        <w:spacing w:before="38"/>
        <w:ind w:left="5760" w:firstLine="720"/>
        <w:jc w:val="both"/>
      </w:pPr>
      <w:r w:rsidRPr="0041464B">
        <w:t xml:space="preserve">z </w:t>
      </w:r>
      <w:r w:rsidRPr="008437CD">
        <w:t xml:space="preserve">dnia </w:t>
      </w:r>
      <w:r w:rsidR="008C1D92">
        <w:t>4</w:t>
      </w:r>
      <w:r w:rsidR="00CF562D" w:rsidRPr="008437CD">
        <w:t xml:space="preserve"> </w:t>
      </w:r>
      <w:r w:rsidR="008C1D92">
        <w:t>marca 2021</w:t>
      </w:r>
      <w:r w:rsidR="008B73E3" w:rsidRPr="008437CD">
        <w:t xml:space="preserve"> r.</w:t>
      </w:r>
    </w:p>
    <w:p w14:paraId="6A3FF754" w14:textId="77777777" w:rsidR="00612C2E" w:rsidRPr="0041464B" w:rsidRDefault="00612C2E" w:rsidP="00B72EA9">
      <w:pPr>
        <w:pStyle w:val="Tekstpodstawowy"/>
        <w:jc w:val="both"/>
        <w:rPr>
          <w:sz w:val="26"/>
        </w:rPr>
      </w:pPr>
    </w:p>
    <w:p w14:paraId="3C5B33A7" w14:textId="77777777" w:rsidR="00CE3D80" w:rsidRPr="0041464B" w:rsidRDefault="00CE3D80" w:rsidP="00B72EA9">
      <w:pPr>
        <w:pStyle w:val="Tekstpodstawowy"/>
        <w:jc w:val="both"/>
        <w:rPr>
          <w:sz w:val="26"/>
        </w:rPr>
      </w:pPr>
    </w:p>
    <w:p w14:paraId="33004834" w14:textId="350BF0A3" w:rsidR="00EE53D4" w:rsidRPr="0041464B" w:rsidRDefault="00B72EA9" w:rsidP="00B72EA9">
      <w:pPr>
        <w:pStyle w:val="Tekstpodstawowy"/>
        <w:spacing w:before="2"/>
        <w:jc w:val="center"/>
        <w:rPr>
          <w:b/>
          <w:bCs/>
          <w:u w:val="single"/>
        </w:rPr>
      </w:pPr>
      <w:r w:rsidRPr="0041464B">
        <w:rPr>
          <w:b/>
          <w:bCs/>
          <w:u w:val="single"/>
        </w:rPr>
        <w:t xml:space="preserve">Sprawozdanie z oceny funkcjonowania polityki wynagradzania </w:t>
      </w:r>
      <w:r w:rsidR="009F2449" w:rsidRPr="0041464B">
        <w:rPr>
          <w:b/>
          <w:bCs/>
          <w:u w:val="single"/>
        </w:rPr>
        <w:t>w ING Banku Hipotecznym</w:t>
      </w:r>
      <w:r w:rsidR="00EE53D4" w:rsidRPr="0041464B">
        <w:rPr>
          <w:b/>
          <w:bCs/>
          <w:u w:val="single"/>
        </w:rPr>
        <w:t xml:space="preserve"> S.A.</w:t>
      </w:r>
    </w:p>
    <w:p w14:paraId="31F0D23A" w14:textId="5F3FBABA" w:rsidR="009F2449" w:rsidRPr="0041464B" w:rsidRDefault="009F2449" w:rsidP="00DB328C">
      <w:pPr>
        <w:pStyle w:val="Tekstpodstawowy"/>
        <w:jc w:val="both"/>
      </w:pPr>
      <w:bookmarkStart w:id="0" w:name="_GoBack"/>
      <w:bookmarkEnd w:id="0"/>
    </w:p>
    <w:p w14:paraId="7DBEE263" w14:textId="45B49384" w:rsidR="00B72EA9" w:rsidRPr="0041464B" w:rsidRDefault="00B72EA9" w:rsidP="00DB328C">
      <w:pPr>
        <w:pStyle w:val="Tekstpodstawowy"/>
        <w:spacing w:before="240"/>
        <w:ind w:left="252"/>
        <w:jc w:val="both"/>
      </w:pPr>
      <w:r w:rsidRPr="0041464B">
        <w:t xml:space="preserve">Podstawą do dokonania oceny funkcjonowania polityki wynagradzania w ING Banku Hipotecznym S.A. jest </w:t>
      </w:r>
      <w:r w:rsidR="00DB328C">
        <w:t>§29 ust.1Rozporządzenia</w:t>
      </w:r>
      <w:r w:rsidR="00DB328C" w:rsidRPr="00DB328C">
        <w:t xml:space="preserve"> Ministra Rozwoju i Finansów z dnia 6 marca 2017 r. w sprawie systemu zarządzania ryzykiem i systemu kontroli wewnętrznej, polityki wynagrodzeń oraz szczegółowego sposobu szacowania kapitału wewnętrznego w bankach</w:t>
      </w:r>
      <w:r w:rsidR="00DB328C">
        <w:t xml:space="preserve"> (</w:t>
      </w:r>
      <w:r w:rsidR="00DB328C" w:rsidRPr="00DB328C">
        <w:t>Dz.U. 2017 poz. 637</w:t>
      </w:r>
      <w:r w:rsidR="00DB328C">
        <w:t xml:space="preserve">) oraz </w:t>
      </w:r>
      <w:r w:rsidRPr="0041464B">
        <w:t xml:space="preserve">§ 28 </w:t>
      </w:r>
      <w:r w:rsidR="009D042D" w:rsidRPr="0041464B">
        <w:t xml:space="preserve">pkt 3 </w:t>
      </w:r>
      <w:r w:rsidRPr="0041464B">
        <w:t>Zasad ładu korporacyjne</w:t>
      </w:r>
      <w:r w:rsidR="00D478A4" w:rsidRPr="0041464B">
        <w:t>go dla instytucji nadzorowanych, przyjętych Uchwałą nr 218/2014 z dnia 22 lipca 2014 roku (Dz. Urz. KNF poz. 17) Komisji Nadzoru Finansowego (dalej: „Zasady”).</w:t>
      </w:r>
    </w:p>
    <w:p w14:paraId="453093EC" w14:textId="77777777" w:rsidR="00B72EA9" w:rsidRPr="0041464B" w:rsidRDefault="00B72EA9" w:rsidP="00B72EA9">
      <w:pPr>
        <w:pStyle w:val="Tekstpodstawowy"/>
        <w:ind w:left="252"/>
        <w:jc w:val="both"/>
      </w:pPr>
    </w:p>
    <w:p w14:paraId="72A63883" w14:textId="20FA2675" w:rsidR="00B72EA9" w:rsidRDefault="00B2062A" w:rsidP="00B72EA9">
      <w:pPr>
        <w:pStyle w:val="Tekstpodstawowy"/>
        <w:ind w:left="252"/>
        <w:jc w:val="both"/>
      </w:pPr>
      <w:r w:rsidRPr="00474C6F">
        <w:t>Od 9 kwietnia 2018</w:t>
      </w:r>
      <w:r w:rsidR="00B72EA9" w:rsidRPr="00474C6F">
        <w:t xml:space="preserve"> roku obowiązuje Polityka wynagradzania </w:t>
      </w:r>
      <w:r w:rsidR="00A6243B" w:rsidRPr="00474C6F">
        <w:t xml:space="preserve">w </w:t>
      </w:r>
      <w:r w:rsidR="00B72EA9" w:rsidRPr="00474C6F">
        <w:t xml:space="preserve">ING Banku </w:t>
      </w:r>
      <w:r w:rsidR="00A6243B" w:rsidRPr="00474C6F">
        <w:t>Hipotecznym</w:t>
      </w:r>
      <w:r w:rsidR="00B72EA9" w:rsidRPr="00474C6F">
        <w:t xml:space="preserve"> S.A. </w:t>
      </w:r>
      <w:r w:rsidR="00A6243B" w:rsidRPr="00474C6F">
        <w:t>(dalej: „Polityka”)</w:t>
      </w:r>
      <w:r w:rsidR="00474C6F" w:rsidRPr="00474C6F">
        <w:t xml:space="preserve">, która co roku podlega przeglądowi i </w:t>
      </w:r>
      <w:r w:rsidR="00FE7675">
        <w:t xml:space="preserve">jest </w:t>
      </w:r>
      <w:r w:rsidR="00474C6F" w:rsidRPr="00474C6F">
        <w:t>aktualizowana</w:t>
      </w:r>
      <w:r w:rsidR="00FE7675">
        <w:t xml:space="preserve"> – ostatnia aktualizacja regulacji zatwierdzona została 7 grudnia 2020 roku</w:t>
      </w:r>
      <w:r w:rsidR="00A6243B" w:rsidRPr="00474C6F">
        <w:t xml:space="preserve">. </w:t>
      </w:r>
      <w:r w:rsidR="00B72EA9" w:rsidRPr="00474C6F">
        <w:t>Dokument</w:t>
      </w:r>
      <w:r w:rsidR="00A6243B" w:rsidRPr="00474C6F">
        <w:t xml:space="preserve"> opracowany został na podstawie </w:t>
      </w:r>
      <w:r w:rsidR="009D042D" w:rsidRPr="00474C6F">
        <w:t xml:space="preserve">standardów </w:t>
      </w:r>
      <w:r w:rsidR="00A6243B" w:rsidRPr="00474C6F">
        <w:t xml:space="preserve">obowiązujących w Grupie Kapitałowej ING Banku Śląskiego S.A. Polityka </w:t>
      </w:r>
      <w:r w:rsidR="00B72EA9" w:rsidRPr="00474C6F">
        <w:t>określa kluczowe założenia kształtowania polityki wynagrodzeń stosowanej w celu przyciągania i utrzymania pracowników poprzez zapewnianie konkurencyjnego rynkowo poziomu wynagrodzeń oraz definiuje składniki wynagrodzeń.</w:t>
      </w:r>
    </w:p>
    <w:p w14:paraId="37A2100D" w14:textId="4FAF6FCE" w:rsidR="00D07B7A" w:rsidRDefault="00D07B7A" w:rsidP="00B72EA9">
      <w:pPr>
        <w:pStyle w:val="Tekstpodstawowy"/>
        <w:ind w:left="252"/>
        <w:jc w:val="both"/>
      </w:pPr>
    </w:p>
    <w:p w14:paraId="186112CC" w14:textId="1E47CCAA" w:rsidR="00D07B7A" w:rsidRPr="0041464B" w:rsidRDefault="00D07B7A" w:rsidP="00B72EA9">
      <w:pPr>
        <w:pStyle w:val="Tekstpodstawowy"/>
        <w:ind w:left="252"/>
        <w:jc w:val="both"/>
      </w:pPr>
      <w:r w:rsidRPr="00D07B7A">
        <w:t>Bank identyfikuje ryzyka społeczne i środowiskowe diagnozowane w ramach strategii zrównoważonego rozwoju. Polityka wynagradzania pozostaje w spójności z przyjętą w Banku na dany okres strategią oraz wspiera społeczną odpowiedzialność biznesu, co znajduje odzwierciedlenia w celach wyznaczanych pracownikom na dany rok. Jednocześnie Polityka nie wspiera działań niezgodnych ze zrównoważonym rozwojem.</w:t>
      </w:r>
    </w:p>
    <w:p w14:paraId="1E686F33" w14:textId="0974E2B8" w:rsidR="009F2449" w:rsidRPr="0041464B" w:rsidRDefault="009F2449" w:rsidP="00B72EA9">
      <w:pPr>
        <w:pStyle w:val="Tekstpodstawowy"/>
        <w:ind w:left="252"/>
        <w:jc w:val="both"/>
      </w:pPr>
    </w:p>
    <w:p w14:paraId="43FB97B7" w14:textId="0C271936" w:rsidR="00B72EA9" w:rsidRPr="0041464B" w:rsidRDefault="00B72EA9" w:rsidP="00B72EA9">
      <w:pPr>
        <w:pStyle w:val="Tekstpodstawowy"/>
        <w:numPr>
          <w:ilvl w:val="0"/>
          <w:numId w:val="4"/>
        </w:numPr>
        <w:jc w:val="both"/>
        <w:rPr>
          <w:b/>
        </w:rPr>
      </w:pPr>
      <w:r w:rsidRPr="0041464B">
        <w:rPr>
          <w:b/>
        </w:rPr>
        <w:t xml:space="preserve">ZASADY KSZTAŁTOWANIA POLITYKI WYNAGRADZANIA W ING BANKU </w:t>
      </w:r>
      <w:r w:rsidR="009C7651" w:rsidRPr="0041464B">
        <w:rPr>
          <w:b/>
        </w:rPr>
        <w:t>HIPOTECZNYM</w:t>
      </w:r>
      <w:r w:rsidRPr="0041464B">
        <w:rPr>
          <w:b/>
        </w:rPr>
        <w:t xml:space="preserve"> S.A.</w:t>
      </w:r>
    </w:p>
    <w:p w14:paraId="262BDB29" w14:textId="77777777" w:rsidR="00B72EA9" w:rsidRPr="0041464B" w:rsidRDefault="00B72EA9" w:rsidP="00B72EA9">
      <w:pPr>
        <w:pStyle w:val="Tekstpodstawowy"/>
        <w:ind w:left="972"/>
        <w:jc w:val="both"/>
        <w:rPr>
          <w:b/>
        </w:rPr>
      </w:pPr>
    </w:p>
    <w:p w14:paraId="25F82418" w14:textId="20B3D265" w:rsidR="00B72EA9" w:rsidRPr="0041464B" w:rsidRDefault="00B72EA9" w:rsidP="00B72EA9">
      <w:pPr>
        <w:pStyle w:val="Tekstpodstawowy"/>
        <w:numPr>
          <w:ilvl w:val="0"/>
          <w:numId w:val="5"/>
        </w:numPr>
        <w:jc w:val="both"/>
      </w:pPr>
      <w:r w:rsidRPr="0041464B">
        <w:t>Polityka wynagradzania opiera się na zarządzaniu wynikami pracy oraz wspiera:</w:t>
      </w:r>
    </w:p>
    <w:p w14:paraId="2D9B2F14" w14:textId="77777777" w:rsidR="00B72EA9" w:rsidRPr="0041464B" w:rsidRDefault="00B72EA9" w:rsidP="00B72EA9">
      <w:pPr>
        <w:pStyle w:val="Tekstpodstawowy"/>
        <w:ind w:left="1080"/>
        <w:jc w:val="both"/>
      </w:pPr>
    </w:p>
    <w:p w14:paraId="1E36A753" w14:textId="77777777" w:rsidR="00B72EA9" w:rsidRPr="0041464B" w:rsidRDefault="00B72EA9" w:rsidP="00B72EA9">
      <w:pPr>
        <w:pStyle w:val="Tekstpodstawowy"/>
        <w:numPr>
          <w:ilvl w:val="0"/>
          <w:numId w:val="6"/>
        </w:numPr>
        <w:jc w:val="both"/>
      </w:pPr>
      <w:r w:rsidRPr="0041464B">
        <w:t>realizację strategii biznesowej oraz długoterminowe interesy Banku i jego klientów,</w:t>
      </w:r>
    </w:p>
    <w:p w14:paraId="6129DA56" w14:textId="7AC341C4" w:rsidR="00B72EA9" w:rsidRPr="0041464B" w:rsidRDefault="00B72EA9" w:rsidP="00B72EA9">
      <w:pPr>
        <w:pStyle w:val="Tekstpodstawowy"/>
        <w:numPr>
          <w:ilvl w:val="0"/>
          <w:numId w:val="6"/>
        </w:numPr>
        <w:jc w:val="both"/>
      </w:pPr>
      <w:r w:rsidRPr="0041464B">
        <w:t xml:space="preserve">prawidłowe i skuteczne zarządzanie ryzykiem w celu utrzymania i ochrony bezpiecznej bazy kapitałowej Banku i nie zachęca do podejmowania nadmiernego ryzyka wykraczającego poza zatwierdzony przez Radę Nadzorczą ING Banku </w:t>
      </w:r>
      <w:r w:rsidR="009C7651" w:rsidRPr="0041464B">
        <w:t>Hipotecznego</w:t>
      </w:r>
      <w:r w:rsidRPr="0041464B">
        <w:t xml:space="preserve"> S.A. apetyt na ryzyko,</w:t>
      </w:r>
    </w:p>
    <w:p w14:paraId="60F91D22" w14:textId="77777777" w:rsidR="00D07B7A" w:rsidRDefault="00B72EA9" w:rsidP="00B72EA9">
      <w:pPr>
        <w:pStyle w:val="Tekstpodstawowy"/>
        <w:numPr>
          <w:ilvl w:val="0"/>
          <w:numId w:val="6"/>
        </w:numPr>
        <w:jc w:val="both"/>
      </w:pPr>
      <w:r w:rsidRPr="0041464B">
        <w:t>proces przyciągania, motywowania i zatrzymywania utalentowanych pracowników, a także ich rozwój, traktując wszystkich pracowników w sposób uczciwy</w:t>
      </w:r>
      <w:r w:rsidR="00D07B7A">
        <w:t>,</w:t>
      </w:r>
    </w:p>
    <w:p w14:paraId="36AB89B4" w14:textId="3B9DC50F" w:rsidR="00B72EA9" w:rsidRPr="0041464B" w:rsidRDefault="00D07B7A" w:rsidP="00B72EA9">
      <w:pPr>
        <w:pStyle w:val="Tekstpodstawowy"/>
        <w:numPr>
          <w:ilvl w:val="0"/>
          <w:numId w:val="6"/>
        </w:numPr>
        <w:jc w:val="both"/>
      </w:pPr>
      <w:r>
        <w:t xml:space="preserve">jest neutralna pod względem płci co oznacza niestwarzanie warunków do nieuzasadnionego uprzywilejowania którejś z płci pod względem warunków wynagradzania. </w:t>
      </w:r>
    </w:p>
    <w:p w14:paraId="467534EA" w14:textId="77777777" w:rsidR="00B72EA9" w:rsidRPr="0041464B" w:rsidRDefault="00B72EA9" w:rsidP="00B72EA9">
      <w:pPr>
        <w:pStyle w:val="Tekstpodstawowy"/>
        <w:ind w:left="252"/>
        <w:jc w:val="both"/>
      </w:pPr>
    </w:p>
    <w:p w14:paraId="6DCEA14B" w14:textId="04F2B49C" w:rsidR="00B72EA9" w:rsidRPr="0041464B" w:rsidRDefault="00B72EA9" w:rsidP="00B72EA9">
      <w:pPr>
        <w:pStyle w:val="Tekstpodstawowy"/>
        <w:numPr>
          <w:ilvl w:val="0"/>
          <w:numId w:val="5"/>
        </w:numPr>
        <w:jc w:val="both"/>
      </w:pPr>
      <w:r w:rsidRPr="0041464B">
        <w:t>Polityka wynagradzania ma na celu zapewnienie, że konflikty interesów związane z wynagradzaniem są identyfikowane i w sposób odpowiedni ograniczane. Jednym z elementów procesu przyznawania wynagrodzenia zmiennego są odpowiednie działania ograniczające ryzyko, tj. wielopoziomowy proces decyzyjny, jasne i transparentne zasady oceny wyników, które są komunikowane wszystkim pracownikom.</w:t>
      </w:r>
    </w:p>
    <w:p w14:paraId="430FAB61" w14:textId="77777777" w:rsidR="00B72EA9" w:rsidRPr="0041464B" w:rsidRDefault="00B72EA9" w:rsidP="00B72EA9">
      <w:pPr>
        <w:pStyle w:val="Tekstpodstawowy"/>
        <w:ind w:left="1080"/>
        <w:jc w:val="both"/>
      </w:pPr>
    </w:p>
    <w:p w14:paraId="024687DA" w14:textId="69832795" w:rsidR="00B72EA9" w:rsidRPr="0041464B" w:rsidRDefault="00B72EA9" w:rsidP="00B72EA9">
      <w:pPr>
        <w:pStyle w:val="Tekstpodstawowy"/>
        <w:numPr>
          <w:ilvl w:val="0"/>
          <w:numId w:val="5"/>
        </w:numPr>
        <w:jc w:val="both"/>
      </w:pPr>
      <w:r w:rsidRPr="0041464B">
        <w:t xml:space="preserve">ING Bank </w:t>
      </w:r>
      <w:r w:rsidR="009C7651" w:rsidRPr="0041464B">
        <w:t>Hipoteczny</w:t>
      </w:r>
      <w:r w:rsidRPr="0041464B">
        <w:t xml:space="preserve"> S.A. nie przewiduje żadnej formy wynagrodzenia, która mogłaby stanowić dla pracowników zachętę do faworyzowania własnych interesów lub interesów Banku przy jednoczesnym działaniu na szkodę klientów.</w:t>
      </w:r>
    </w:p>
    <w:p w14:paraId="6489F637" w14:textId="77777777" w:rsidR="00B72EA9" w:rsidRPr="0041464B" w:rsidRDefault="00B72EA9" w:rsidP="00B72EA9">
      <w:pPr>
        <w:pStyle w:val="Akapitzlist"/>
      </w:pPr>
    </w:p>
    <w:p w14:paraId="2D04E779" w14:textId="77777777" w:rsidR="00B72EA9" w:rsidRPr="0041464B" w:rsidRDefault="00B72EA9" w:rsidP="00B72EA9">
      <w:pPr>
        <w:pStyle w:val="Tekstpodstawowy"/>
        <w:numPr>
          <w:ilvl w:val="0"/>
          <w:numId w:val="5"/>
        </w:numPr>
        <w:jc w:val="both"/>
      </w:pPr>
      <w:r w:rsidRPr="0041464B">
        <w:t>Zasady wynagradzania osób działających w imieniu Banku nie stanowią zachęty do podejmowania nadmiernego ryzyka niewłaściwej sprzedaży produktów.</w:t>
      </w:r>
    </w:p>
    <w:p w14:paraId="0FAA84FA" w14:textId="77777777" w:rsidR="00B72EA9" w:rsidRPr="0041464B" w:rsidRDefault="00B72EA9" w:rsidP="00B72EA9">
      <w:pPr>
        <w:pStyle w:val="Akapitzlist"/>
      </w:pPr>
    </w:p>
    <w:p w14:paraId="37AD0499" w14:textId="6B0733E0" w:rsidR="00B72EA9" w:rsidRPr="0041464B" w:rsidRDefault="00B72EA9" w:rsidP="00B72EA9">
      <w:pPr>
        <w:pStyle w:val="Tekstpodstawowy"/>
        <w:numPr>
          <w:ilvl w:val="0"/>
          <w:numId w:val="5"/>
        </w:numPr>
        <w:jc w:val="both"/>
      </w:pPr>
      <w:r w:rsidRPr="0041464B">
        <w:t xml:space="preserve">Wynagrodzenie kształtuje się w odniesieniu do zakresu zadań oraz poziomu odpowiedzialności zawartego w opisie stanowiska, który podlega wycenie zgodnie z </w:t>
      </w:r>
      <w:r w:rsidRPr="001378F9">
        <w:t xml:space="preserve">metodologią </w:t>
      </w:r>
      <w:proofErr w:type="spellStart"/>
      <w:r w:rsidRPr="001378F9">
        <w:t>Hay</w:t>
      </w:r>
      <w:proofErr w:type="spellEnd"/>
      <w:r w:rsidRPr="001378F9">
        <w:t xml:space="preserve"> </w:t>
      </w:r>
      <w:proofErr w:type="spellStart"/>
      <w:r w:rsidRPr="001378F9">
        <w:t>Group</w:t>
      </w:r>
      <w:proofErr w:type="spellEnd"/>
      <w:r w:rsidR="009D042D" w:rsidRPr="001378F9">
        <w:t xml:space="preserve"> stosowanej w ramach Grupy Kapitałowej ING Banku Śląskiego S.A</w:t>
      </w:r>
      <w:r w:rsidRPr="001378F9">
        <w:t>.</w:t>
      </w:r>
    </w:p>
    <w:p w14:paraId="4C84ECA1" w14:textId="77777777" w:rsidR="00B72EA9" w:rsidRPr="0041464B" w:rsidRDefault="00B72EA9" w:rsidP="00B72EA9">
      <w:pPr>
        <w:pStyle w:val="Akapitzlist"/>
      </w:pPr>
    </w:p>
    <w:p w14:paraId="1E1FEA22" w14:textId="6E8CCDBB" w:rsidR="00A6243B" w:rsidRPr="0041464B" w:rsidRDefault="00B72EA9" w:rsidP="00D07B7A">
      <w:pPr>
        <w:pStyle w:val="Tekstpodstawowy"/>
        <w:numPr>
          <w:ilvl w:val="0"/>
          <w:numId w:val="5"/>
        </w:numPr>
        <w:jc w:val="both"/>
      </w:pPr>
      <w:r w:rsidRPr="0041464B">
        <w:t>Bank co roku dokonuje przeglądu poziomu wynagrodzeń. Przedmiotem analizy są dane rynkowe - raporty płacowe oraz informacje gospodarczo-ekonomiczne. Decyzja o wysokości podwyżki pracownika podejmowana jest w głównej mierze w oparciu o pozycję jego wynagrodzenia zasadniczego w odpowiednim do kategorii zaszeregowania przedziale płacowym oraz wyniki oceny rocznej pracownika.</w:t>
      </w:r>
    </w:p>
    <w:p w14:paraId="0F7152EC" w14:textId="77777777" w:rsidR="00A6243B" w:rsidRPr="0041464B" w:rsidRDefault="00A6243B" w:rsidP="00B72EA9">
      <w:pPr>
        <w:pStyle w:val="Akapitzlist"/>
      </w:pPr>
    </w:p>
    <w:p w14:paraId="3CCA18A0" w14:textId="39CBB068" w:rsidR="009F2449" w:rsidRPr="0041464B" w:rsidRDefault="00B72EA9" w:rsidP="00B72EA9">
      <w:pPr>
        <w:pStyle w:val="Tekstpodstawowy"/>
        <w:numPr>
          <w:ilvl w:val="0"/>
          <w:numId w:val="5"/>
        </w:numPr>
        <w:jc w:val="both"/>
      </w:pPr>
      <w:r w:rsidRPr="0041464B">
        <w:t>System wynagradzania jest jawny i transparentny, a jego zasady są komunikowane wszystkim pracownikom Banku.</w:t>
      </w:r>
    </w:p>
    <w:p w14:paraId="5F133DA1" w14:textId="0D2E26B9" w:rsidR="00B72EA9" w:rsidRPr="0041464B" w:rsidRDefault="00B72EA9" w:rsidP="00B72EA9">
      <w:pPr>
        <w:pStyle w:val="Tekstpodstawowy"/>
        <w:ind w:left="252"/>
        <w:jc w:val="both"/>
      </w:pPr>
    </w:p>
    <w:p w14:paraId="397777DC" w14:textId="334D065F" w:rsidR="00B72EA9" w:rsidRPr="0041464B" w:rsidRDefault="00B72EA9" w:rsidP="00B72EA9">
      <w:pPr>
        <w:pStyle w:val="Tekstpodstawowy"/>
        <w:numPr>
          <w:ilvl w:val="0"/>
          <w:numId w:val="4"/>
        </w:numPr>
        <w:jc w:val="both"/>
        <w:rPr>
          <w:b/>
        </w:rPr>
      </w:pPr>
      <w:r w:rsidRPr="0041464B">
        <w:rPr>
          <w:b/>
        </w:rPr>
        <w:t>SKŁADNIKI WYNAGRODZENIA</w:t>
      </w:r>
    </w:p>
    <w:p w14:paraId="36CC2679" w14:textId="77777777" w:rsidR="00B72EA9" w:rsidRPr="0041464B" w:rsidRDefault="00B72EA9" w:rsidP="00B72EA9">
      <w:pPr>
        <w:pStyle w:val="Tekstpodstawowy"/>
        <w:ind w:left="972"/>
        <w:jc w:val="both"/>
        <w:rPr>
          <w:b/>
        </w:rPr>
      </w:pPr>
    </w:p>
    <w:p w14:paraId="37300063" w14:textId="18FECC3D" w:rsidR="00B72EA9" w:rsidRPr="0041464B" w:rsidRDefault="00B72EA9" w:rsidP="00B72EA9">
      <w:pPr>
        <w:pStyle w:val="Tekstpodstawowy"/>
        <w:numPr>
          <w:ilvl w:val="0"/>
          <w:numId w:val="7"/>
        </w:numPr>
        <w:jc w:val="both"/>
      </w:pPr>
      <w:r w:rsidRPr="0041464B">
        <w:t>Wynagrodzenie całkowite jest podzielone na część stałą i zmienną.</w:t>
      </w:r>
    </w:p>
    <w:p w14:paraId="01EDEED8" w14:textId="77777777" w:rsidR="00B72EA9" w:rsidRPr="0041464B" w:rsidRDefault="00B72EA9" w:rsidP="00B72EA9">
      <w:pPr>
        <w:pStyle w:val="Tekstpodstawowy"/>
        <w:ind w:left="972"/>
        <w:jc w:val="both"/>
      </w:pPr>
    </w:p>
    <w:p w14:paraId="3204BAD5" w14:textId="77777777" w:rsidR="00B72EA9" w:rsidRPr="0041464B" w:rsidRDefault="00B72EA9" w:rsidP="00B72EA9">
      <w:pPr>
        <w:pStyle w:val="Tekstpodstawowy"/>
        <w:numPr>
          <w:ilvl w:val="0"/>
          <w:numId w:val="7"/>
        </w:numPr>
        <w:jc w:val="both"/>
      </w:pPr>
      <w:r w:rsidRPr="0041464B">
        <w:t>Wynagrodzenie stałe stanowi na tyle dużą część wynagrodzenia całkowitego, że pozwala ono na prowadzenie w pełni elastycznej polityki zmiennych składników wynagrodzeń, w tym daje możliwość zmniejszenia lub nieprzyznania w ogóle wynagrodzenia zmiennego.</w:t>
      </w:r>
    </w:p>
    <w:p w14:paraId="160DA263" w14:textId="77777777" w:rsidR="00B72EA9" w:rsidRPr="0041464B" w:rsidRDefault="00B72EA9" w:rsidP="00B72EA9">
      <w:pPr>
        <w:pStyle w:val="Akapitzlist"/>
      </w:pPr>
    </w:p>
    <w:p w14:paraId="5F6E9140" w14:textId="11F4562C" w:rsidR="00B72EA9" w:rsidRPr="0041464B" w:rsidRDefault="00B72EA9" w:rsidP="00B72EA9">
      <w:pPr>
        <w:pStyle w:val="Tekstpodstawowy"/>
        <w:numPr>
          <w:ilvl w:val="0"/>
          <w:numId w:val="7"/>
        </w:numPr>
        <w:jc w:val="both"/>
      </w:pPr>
      <w:r w:rsidRPr="0041464B">
        <w:t>Wynagrodzenie zmienne to wszelkie formy wynagradzania i in</w:t>
      </w:r>
      <w:r w:rsidR="004F5856" w:rsidRPr="0041464B">
        <w:t>nych świadczeń przekazywanych w </w:t>
      </w:r>
      <w:r w:rsidRPr="0041464B">
        <w:t>zamian za osiągnięte wyniki. W skład wynagrodzenia zmiennego wchodzi premia roczna, która dla każdego pracownika jest ustalana na podstawie oceny zrównoważonych i dostosowanych do ryzyka wyników z uwzględnieniem kryteriów ilościowych i jakościowych. W ramach wynagrodzenia zmiennego pracownicy mogą również otrzymać dodatkowo indywidualną nagrodę pieniężną, której celem jest uznanie i docenienie pracowników osiągających ponadprzeciętne wyniki w pracy oraz odznaczających się szczególnym potencjałem.</w:t>
      </w:r>
    </w:p>
    <w:p w14:paraId="5CF77BE8" w14:textId="77777777" w:rsidR="00B72EA9" w:rsidRPr="0041464B" w:rsidRDefault="00B72EA9" w:rsidP="00B72EA9">
      <w:pPr>
        <w:pStyle w:val="Akapitzlist"/>
      </w:pPr>
    </w:p>
    <w:p w14:paraId="36B80ADE" w14:textId="369CB59A" w:rsidR="00B72EA9" w:rsidRPr="0041464B" w:rsidRDefault="00B72EA9" w:rsidP="00B72EA9">
      <w:pPr>
        <w:pStyle w:val="Tekstpodstawowy"/>
        <w:numPr>
          <w:ilvl w:val="0"/>
          <w:numId w:val="7"/>
        </w:numPr>
        <w:jc w:val="both"/>
      </w:pPr>
      <w:r w:rsidRPr="0041464B">
        <w:t xml:space="preserve">Dla grupy pracowników zajmujących stanowiska mające istotny wpływ na profil ryzyka Banku obowiązują odrębne zasady dotyczące wynagrodzeń zmiennych określone w Polityce zmiennych składników wynagrodzeń dla </w:t>
      </w:r>
      <w:proofErr w:type="spellStart"/>
      <w:r w:rsidRPr="0041464B">
        <w:t>Identified</w:t>
      </w:r>
      <w:proofErr w:type="spellEnd"/>
      <w:r w:rsidRPr="0041464B">
        <w:t xml:space="preserve"> Staff ING Banku </w:t>
      </w:r>
      <w:r w:rsidR="009C7651" w:rsidRPr="0041464B">
        <w:t>Hipotecznego</w:t>
      </w:r>
      <w:r w:rsidRPr="0041464B">
        <w:t xml:space="preserve"> S.A. Polityka ta określa składniki wynagrodzenia zmiennego, jakie mogą być pr</w:t>
      </w:r>
      <w:r w:rsidR="004F5856" w:rsidRPr="0041464B">
        <w:t xml:space="preserve">zyznawane </w:t>
      </w:r>
      <w:proofErr w:type="spellStart"/>
      <w:r w:rsidR="004F5856" w:rsidRPr="0041464B">
        <w:t>Identified</w:t>
      </w:r>
      <w:proofErr w:type="spellEnd"/>
      <w:r w:rsidR="004F5856" w:rsidRPr="0041464B">
        <w:t xml:space="preserve"> Staff oraz </w:t>
      </w:r>
      <w:r w:rsidRPr="0041464B">
        <w:t>zasady wypłaty tego wynagrodzenia.</w:t>
      </w:r>
    </w:p>
    <w:p w14:paraId="326B7AE8" w14:textId="77777777" w:rsidR="00B72EA9" w:rsidRPr="0041464B" w:rsidRDefault="00B72EA9" w:rsidP="00B72EA9">
      <w:pPr>
        <w:pStyle w:val="Akapitzlist"/>
      </w:pPr>
    </w:p>
    <w:p w14:paraId="0BD91F07" w14:textId="26196157" w:rsidR="00B72EA9" w:rsidRPr="0041464B" w:rsidRDefault="00B72EA9" w:rsidP="009C7651">
      <w:pPr>
        <w:pStyle w:val="Tekstpodstawowy"/>
        <w:ind w:firstLine="612"/>
        <w:jc w:val="both"/>
      </w:pPr>
      <w:r w:rsidRPr="0041464B">
        <w:t>Do najważniejszych z nich należą:</w:t>
      </w:r>
    </w:p>
    <w:p w14:paraId="4FFDB506" w14:textId="1AA4170F" w:rsidR="00E826C7" w:rsidRPr="0041464B" w:rsidRDefault="00E826C7" w:rsidP="009D042D">
      <w:pPr>
        <w:pStyle w:val="AODocTxtL3"/>
        <w:numPr>
          <w:ilvl w:val="0"/>
          <w:numId w:val="8"/>
        </w:numPr>
        <w:spacing w:before="120" w:after="120" w:line="240" w:lineRule="auto"/>
        <w:rPr>
          <w:rFonts w:ascii="ING Me" w:hAnsi="ING Me" w:cs="Arial"/>
          <w:sz w:val="20"/>
          <w:szCs w:val="20"/>
          <w:lang w:val="pl-PL" w:eastAsia="ja-JP"/>
        </w:rPr>
      </w:pPr>
      <w:r w:rsidRPr="0041464B">
        <w:rPr>
          <w:rFonts w:ascii="ING Me" w:hAnsi="ING Me" w:cs="Arial"/>
          <w:sz w:val="20"/>
          <w:szCs w:val="20"/>
          <w:lang w:val="pl-PL" w:eastAsia="ja-JP"/>
        </w:rPr>
        <w:t>kryteria finansowe i niefinansowe oraz</w:t>
      </w:r>
      <w:r w:rsidR="009D042D" w:rsidRPr="0041464B">
        <w:rPr>
          <w:rFonts w:ascii="ING Me" w:hAnsi="ING Me" w:cs="Arial"/>
          <w:sz w:val="20"/>
          <w:szCs w:val="20"/>
          <w:lang w:val="pl-PL" w:eastAsia="ja-JP"/>
        </w:rPr>
        <w:t xml:space="preserve"> </w:t>
      </w:r>
      <w:r w:rsidRPr="0041464B">
        <w:rPr>
          <w:rFonts w:ascii="ING Me" w:hAnsi="ING Me" w:cs="Arial"/>
          <w:sz w:val="20"/>
          <w:szCs w:val="20"/>
          <w:lang w:val="pl-PL" w:eastAsia="ja-JP"/>
        </w:rPr>
        <w:t>kryteria skorygowane o ryzyko</w:t>
      </w:r>
      <w:r w:rsidR="009D042D" w:rsidRPr="0041464B">
        <w:rPr>
          <w:rFonts w:ascii="ING Me" w:hAnsi="ING Me" w:cs="Arial"/>
          <w:sz w:val="20"/>
          <w:szCs w:val="20"/>
          <w:lang w:val="pl-PL" w:eastAsia="ja-JP"/>
        </w:rPr>
        <w:t xml:space="preserve"> - do oceny indywidualnych efektów pracy,</w:t>
      </w:r>
      <w:r w:rsidRPr="0041464B">
        <w:rPr>
          <w:rFonts w:ascii="ING Me" w:hAnsi="ING Me" w:cs="Arial"/>
          <w:sz w:val="20"/>
          <w:szCs w:val="20"/>
          <w:lang w:val="pl-PL" w:eastAsia="ja-JP"/>
        </w:rPr>
        <w:t xml:space="preserve"> przy czym kryteria niefinansowe stanowią minimum 50% wszystkich celów z wyłączeniem osób odpowiedzialnych za funkcje kontrolne</w:t>
      </w:r>
    </w:p>
    <w:p w14:paraId="2BD3887A" w14:textId="6F1400E9" w:rsidR="009D042D" w:rsidRPr="0041464B" w:rsidRDefault="00E826C7" w:rsidP="001378F9">
      <w:pPr>
        <w:pStyle w:val="Akapitzlist"/>
        <w:widowControl/>
        <w:numPr>
          <w:ilvl w:val="0"/>
          <w:numId w:val="8"/>
        </w:numPr>
        <w:autoSpaceDE/>
        <w:autoSpaceDN/>
        <w:ind w:left="1077" w:hanging="357"/>
        <w:jc w:val="both"/>
        <w:rPr>
          <w:rFonts w:eastAsia="SimSun" w:cs="Arial"/>
          <w:sz w:val="20"/>
          <w:szCs w:val="20"/>
          <w:lang w:eastAsia="ja-JP"/>
        </w:rPr>
      </w:pPr>
      <w:r w:rsidRPr="0041464B">
        <w:rPr>
          <w:rFonts w:cs="Arial"/>
          <w:sz w:val="20"/>
          <w:szCs w:val="20"/>
          <w:lang w:eastAsia="ja-JP"/>
        </w:rPr>
        <w:t>d</w:t>
      </w:r>
      <w:r w:rsidRPr="0041464B">
        <w:rPr>
          <w:rFonts w:eastAsia="SimSun" w:cs="Arial"/>
          <w:sz w:val="20"/>
          <w:szCs w:val="20"/>
          <w:lang w:eastAsia="ja-JP"/>
        </w:rPr>
        <w:t>la osób odpowiedzialnych za funkcje kontrolne nie stosuje się kryteriów finansowych. Cele dla tych osób wynikają z pełnionych przez nie funkcji i nie są powiązane z wynikami uzyskiwanymi w kontrolowanych przez nie obszarach.</w:t>
      </w:r>
    </w:p>
    <w:p w14:paraId="6D73E3BA" w14:textId="77777777" w:rsidR="009D042D" w:rsidRPr="001378F9" w:rsidRDefault="009D042D" w:rsidP="001378F9">
      <w:pPr>
        <w:pStyle w:val="Akapitzlist"/>
        <w:widowControl/>
        <w:autoSpaceDE/>
        <w:autoSpaceDN/>
        <w:ind w:left="1077" w:firstLine="0"/>
        <w:jc w:val="both"/>
        <w:rPr>
          <w:rFonts w:eastAsia="SimSun" w:cs="Arial"/>
          <w:sz w:val="20"/>
          <w:szCs w:val="20"/>
          <w:lang w:eastAsia="ja-JP"/>
        </w:rPr>
      </w:pPr>
    </w:p>
    <w:p w14:paraId="109D8832" w14:textId="646FF29D" w:rsidR="00B72EA9" w:rsidRPr="0041464B" w:rsidRDefault="00B72EA9" w:rsidP="00B72EA9">
      <w:pPr>
        <w:pStyle w:val="Tekstpodstawowy"/>
        <w:numPr>
          <w:ilvl w:val="0"/>
          <w:numId w:val="8"/>
        </w:numPr>
        <w:jc w:val="both"/>
      </w:pPr>
      <w:r w:rsidRPr="0041464B">
        <w:t>odroczenie części wynagrodzenia zmiennego, która rozliczana jest w trzech ratach w okresie weryfikacji efektów pracy, by ocenić wpływ działań pracowników na długoterminowe wyniki Banku,</w:t>
      </w:r>
    </w:p>
    <w:p w14:paraId="35BB5657" w14:textId="77777777" w:rsidR="009D042D" w:rsidRPr="0041464B" w:rsidRDefault="009D042D" w:rsidP="001378F9">
      <w:pPr>
        <w:pStyle w:val="Tekstpodstawowy"/>
        <w:ind w:left="1080"/>
        <w:jc w:val="both"/>
      </w:pPr>
    </w:p>
    <w:p w14:paraId="433A965E" w14:textId="2549FB32" w:rsidR="00B72EA9" w:rsidRPr="0041464B" w:rsidRDefault="00B72EA9" w:rsidP="00B72EA9">
      <w:pPr>
        <w:pStyle w:val="Tekstpodstawowy"/>
        <w:numPr>
          <w:ilvl w:val="0"/>
          <w:numId w:val="8"/>
        </w:numPr>
        <w:jc w:val="both"/>
      </w:pPr>
      <w:r w:rsidRPr="0041464B">
        <w:t xml:space="preserve">przyznanie części wynagrodzenia zmiennego (co najmniej 50%) w akcjach fantomowych, uprawniających do otrzymania środków pieniężnych uzależnionych od wartości akcji ING Banku </w:t>
      </w:r>
      <w:r w:rsidR="009C7651" w:rsidRPr="0041464B">
        <w:t>Hipotecznego</w:t>
      </w:r>
      <w:r w:rsidRPr="0041464B">
        <w:t xml:space="preserve"> S.A.</w:t>
      </w:r>
    </w:p>
    <w:p w14:paraId="7839940A" w14:textId="77777777" w:rsidR="00B72EA9" w:rsidRPr="0041464B" w:rsidRDefault="00B72EA9" w:rsidP="00B72EA9">
      <w:pPr>
        <w:pStyle w:val="Tekstpodstawowy"/>
        <w:ind w:left="1332"/>
        <w:jc w:val="both"/>
      </w:pPr>
    </w:p>
    <w:p w14:paraId="39A76393" w14:textId="6255767C" w:rsidR="00B72EA9" w:rsidRPr="0041464B" w:rsidRDefault="00B72EA9" w:rsidP="00B72EA9">
      <w:pPr>
        <w:pStyle w:val="Tekstpodstawowy"/>
        <w:numPr>
          <w:ilvl w:val="0"/>
          <w:numId w:val="7"/>
        </w:numPr>
        <w:jc w:val="both"/>
      </w:pPr>
      <w:r w:rsidRPr="0041464B">
        <w:t>Świadczenia dodatkowe w ramach polityki wynagradzania Banku:</w:t>
      </w:r>
    </w:p>
    <w:p w14:paraId="421ACBAB" w14:textId="6E5343D5" w:rsidR="00B72EA9" w:rsidRPr="0041464B" w:rsidRDefault="00B72EA9" w:rsidP="00B72EA9">
      <w:pPr>
        <w:pStyle w:val="Tekstpodstawowy"/>
        <w:numPr>
          <w:ilvl w:val="0"/>
          <w:numId w:val="10"/>
        </w:numPr>
        <w:jc w:val="both"/>
      </w:pPr>
      <w:r w:rsidRPr="0041464B">
        <w:lastRenderedPageBreak/>
        <w:t xml:space="preserve">Opieka medyczna - pracownicy Banku mają zapewnioną podstawową opiekę medyczną </w:t>
      </w:r>
      <w:r w:rsidR="00E826C7" w:rsidRPr="0041464B">
        <w:t>w</w:t>
      </w:r>
      <w:r w:rsidR="0041464B">
        <w:t> </w:t>
      </w:r>
      <w:r w:rsidR="00E826C7" w:rsidRPr="0041464B">
        <w:t xml:space="preserve">tym opiekę stomatologiczną </w:t>
      </w:r>
      <w:r w:rsidRPr="0041464B">
        <w:t>oraz możliwość korzystania z dodatkowo płatnych pakietów rodzinnych,</w:t>
      </w:r>
    </w:p>
    <w:p w14:paraId="2BC23604" w14:textId="0CE3322A" w:rsidR="00B72EA9" w:rsidRDefault="00B72EA9" w:rsidP="00B72EA9">
      <w:pPr>
        <w:pStyle w:val="Tekstpodstawowy"/>
        <w:numPr>
          <w:ilvl w:val="0"/>
          <w:numId w:val="10"/>
        </w:numPr>
        <w:jc w:val="both"/>
      </w:pPr>
      <w:r w:rsidRPr="0041464B">
        <w:t>Pracowniczy Program Emerytalny - dzięki programowi Bank umożliwia pracownikom wspólne i dobrowolne gromadzenie dodatkowych środków na emeryturę,</w:t>
      </w:r>
    </w:p>
    <w:p w14:paraId="4667F0F2" w14:textId="2ABD60B7" w:rsidR="00EE06AC" w:rsidRPr="0041464B" w:rsidRDefault="00D07B7A" w:rsidP="00934C94">
      <w:pPr>
        <w:pStyle w:val="Tekstpodstawowy"/>
        <w:numPr>
          <w:ilvl w:val="0"/>
          <w:numId w:val="10"/>
        </w:numPr>
        <w:jc w:val="both"/>
      </w:pPr>
      <w:r>
        <w:t>Ubezpieczenie na życie – pracownicy Banku maja zapewnione ubezpieczenie na życie, które obejmuje: śmierć pracownika, śmierć pracownika wskutek nieszczęśliwego wypadku oraz poważne zachorowanie,</w:t>
      </w:r>
    </w:p>
    <w:p w14:paraId="3E903630" w14:textId="24AA0EBF" w:rsidR="00B72EA9" w:rsidRDefault="00B72EA9" w:rsidP="00B72EA9">
      <w:pPr>
        <w:pStyle w:val="Tekstpodstawowy"/>
        <w:numPr>
          <w:ilvl w:val="0"/>
          <w:numId w:val="10"/>
        </w:numPr>
        <w:jc w:val="both"/>
      </w:pPr>
      <w:r w:rsidRPr="0041464B">
        <w:t xml:space="preserve">świadczenia przyznane pracownikom na podstawie Regulaminu programu </w:t>
      </w:r>
      <w:proofErr w:type="spellStart"/>
      <w:r w:rsidRPr="0041464B">
        <w:t>kafeteryjnego</w:t>
      </w:r>
      <w:proofErr w:type="spellEnd"/>
      <w:r w:rsidRPr="0041464B">
        <w:t>.</w:t>
      </w:r>
    </w:p>
    <w:p w14:paraId="3CB65232" w14:textId="77777777" w:rsidR="008437CD" w:rsidRDefault="008437CD" w:rsidP="008437CD">
      <w:pPr>
        <w:pStyle w:val="Akapitzlist"/>
      </w:pPr>
    </w:p>
    <w:p w14:paraId="2B047BF9" w14:textId="77777777" w:rsidR="008437CD" w:rsidRPr="0041464B" w:rsidRDefault="008437CD" w:rsidP="008437CD">
      <w:pPr>
        <w:pStyle w:val="Tekstpodstawowy"/>
        <w:jc w:val="both"/>
      </w:pPr>
    </w:p>
    <w:p w14:paraId="4A125E63" w14:textId="539F3EC5" w:rsidR="00B72EA9" w:rsidRPr="0041464B" w:rsidRDefault="00B72EA9" w:rsidP="00B72EA9">
      <w:pPr>
        <w:pStyle w:val="Tekstpodstawowy"/>
        <w:ind w:left="252"/>
        <w:jc w:val="both"/>
      </w:pPr>
    </w:p>
    <w:p w14:paraId="79EA5340" w14:textId="0520FB1D" w:rsidR="00B72EA9" w:rsidRPr="0041464B" w:rsidRDefault="00B72EA9" w:rsidP="00B72EA9">
      <w:pPr>
        <w:pStyle w:val="Tekstpodstawowy"/>
        <w:numPr>
          <w:ilvl w:val="0"/>
          <w:numId w:val="4"/>
        </w:numPr>
        <w:jc w:val="both"/>
        <w:rPr>
          <w:b/>
        </w:rPr>
      </w:pPr>
      <w:r w:rsidRPr="0041464B">
        <w:rPr>
          <w:b/>
        </w:rPr>
        <w:t>NADZÓR NAD POLITYKĄ WYNAGRADZANIA</w:t>
      </w:r>
    </w:p>
    <w:p w14:paraId="5D4E48CC" w14:textId="77777777" w:rsidR="00B72EA9" w:rsidRPr="0041464B" w:rsidRDefault="00B72EA9" w:rsidP="00B72EA9">
      <w:pPr>
        <w:pStyle w:val="Tekstpodstawowy"/>
        <w:ind w:left="972"/>
        <w:jc w:val="both"/>
        <w:rPr>
          <w:b/>
        </w:rPr>
      </w:pPr>
    </w:p>
    <w:p w14:paraId="0BA15EEF" w14:textId="1233ECEE" w:rsidR="00B72EA9" w:rsidRPr="0041464B" w:rsidRDefault="00B72EA9" w:rsidP="00B72EA9">
      <w:pPr>
        <w:pStyle w:val="Tekstpodstawowy"/>
        <w:numPr>
          <w:ilvl w:val="0"/>
          <w:numId w:val="11"/>
        </w:numPr>
        <w:jc w:val="both"/>
      </w:pPr>
      <w:r w:rsidRPr="0041464B">
        <w:t>Nadzór nad przestrzeganiem polityki wynagradzania w Banku pełnią:</w:t>
      </w:r>
    </w:p>
    <w:p w14:paraId="01B3C7C9" w14:textId="77777777" w:rsidR="00B72EA9" w:rsidRPr="0041464B" w:rsidRDefault="00B72EA9" w:rsidP="00B72EA9">
      <w:pPr>
        <w:pStyle w:val="Tekstpodstawowy"/>
        <w:numPr>
          <w:ilvl w:val="0"/>
          <w:numId w:val="12"/>
        </w:numPr>
        <w:jc w:val="both"/>
      </w:pPr>
      <w:r w:rsidRPr="0041464B">
        <w:t>Walne Zgromadzenie - dokonuje corocznie oceny, czy ustalona polityka wynagradzania sprzyja rozwojowi i bezpieczeństwu działania Banku,</w:t>
      </w:r>
    </w:p>
    <w:p w14:paraId="32BA045B" w14:textId="6B2FB100" w:rsidR="00B72EA9" w:rsidRPr="0041464B" w:rsidRDefault="00B72EA9" w:rsidP="00B72EA9">
      <w:pPr>
        <w:pStyle w:val="Tekstpodstawowy"/>
        <w:numPr>
          <w:ilvl w:val="0"/>
          <w:numId w:val="12"/>
        </w:numPr>
        <w:jc w:val="both"/>
      </w:pPr>
      <w:r w:rsidRPr="0041464B">
        <w:t xml:space="preserve">Rada Nadzorcza ING Banku </w:t>
      </w:r>
      <w:r w:rsidR="009C7651" w:rsidRPr="0041464B">
        <w:t>Hipotecznego</w:t>
      </w:r>
      <w:r w:rsidRPr="0041464B">
        <w:t xml:space="preserve"> S.A. - zatwierdza Politykę i sprawuje nadzór nad jej przestrzeganiem,</w:t>
      </w:r>
    </w:p>
    <w:p w14:paraId="0707B7E3" w14:textId="5B1567D4" w:rsidR="00B72EA9" w:rsidRPr="001378F9" w:rsidRDefault="00B72EA9" w:rsidP="00B72EA9">
      <w:pPr>
        <w:pStyle w:val="Tekstpodstawowy"/>
        <w:numPr>
          <w:ilvl w:val="0"/>
          <w:numId w:val="12"/>
        </w:numPr>
        <w:jc w:val="both"/>
      </w:pPr>
      <w:r w:rsidRPr="0041464B">
        <w:t xml:space="preserve">Funkcje kontrolne aktywnie uczestniczą i współpracują w przeglądzie polityki wynagrodzeń Banku w celu zapewnienia jej spójności ze strategią i </w:t>
      </w:r>
      <w:r w:rsidRPr="001378F9">
        <w:t>ramami zarządzania ryzykiem, a także dokonują oceny prawidłowości bazy kapitałowej oraz spełnienia warunków koniecznych do uruchomienia puli premiowej.</w:t>
      </w:r>
    </w:p>
    <w:p w14:paraId="6A6555A1" w14:textId="77777777" w:rsidR="00B72EA9" w:rsidRPr="0041464B" w:rsidRDefault="00B72EA9" w:rsidP="009C6474">
      <w:pPr>
        <w:pStyle w:val="Tekstpodstawowy"/>
        <w:jc w:val="both"/>
      </w:pPr>
    </w:p>
    <w:p w14:paraId="19865BAB" w14:textId="68568E7E" w:rsidR="00B72EA9" w:rsidRDefault="001D0668" w:rsidP="00087A2C">
      <w:pPr>
        <w:pStyle w:val="Tekstpodstawowy"/>
        <w:numPr>
          <w:ilvl w:val="0"/>
          <w:numId w:val="11"/>
        </w:numPr>
        <w:jc w:val="both"/>
      </w:pPr>
      <w:r w:rsidRPr="00093BA0">
        <w:t xml:space="preserve">Polityka wynagrodzeń podlega niezależnemu przeglądowi przez Stanowisko Audytora Wewnętrznego, który dokonywany jest co najmniej raz w roku. </w:t>
      </w:r>
    </w:p>
    <w:p w14:paraId="5BA56218" w14:textId="77777777" w:rsidR="00113886" w:rsidRPr="00093BA0" w:rsidRDefault="00113886" w:rsidP="00113886">
      <w:pPr>
        <w:pStyle w:val="Tekstpodstawowy"/>
        <w:ind w:left="612"/>
        <w:jc w:val="both"/>
      </w:pPr>
    </w:p>
    <w:p w14:paraId="012327A8" w14:textId="17E0230A" w:rsidR="00B72EA9" w:rsidRPr="0041464B" w:rsidRDefault="00B72EA9" w:rsidP="00B72EA9">
      <w:pPr>
        <w:pStyle w:val="Tekstpodstawowy"/>
        <w:numPr>
          <w:ilvl w:val="0"/>
          <w:numId w:val="11"/>
        </w:numPr>
        <w:jc w:val="both"/>
      </w:pPr>
      <w:r w:rsidRPr="0041464B">
        <w:t>Nadzór nad zgodnością działalności Banku z przepisami dotyczącymi Polityki zmiennych składników wynagrodzeń sprawuje Komisja Nadzoru Finansowego.</w:t>
      </w:r>
    </w:p>
    <w:p w14:paraId="6C287479" w14:textId="3047B781" w:rsidR="00B72EA9" w:rsidRPr="0041464B" w:rsidRDefault="00B72EA9" w:rsidP="00B72EA9">
      <w:pPr>
        <w:pStyle w:val="Tekstpodstawowy"/>
        <w:jc w:val="both"/>
      </w:pPr>
    </w:p>
    <w:p w14:paraId="428C032D" w14:textId="61D089B0" w:rsidR="00B72EA9" w:rsidRPr="0041464B" w:rsidRDefault="00B72EA9" w:rsidP="00B72EA9">
      <w:pPr>
        <w:pStyle w:val="Tekstpodstawowy"/>
        <w:numPr>
          <w:ilvl w:val="0"/>
          <w:numId w:val="4"/>
        </w:numPr>
        <w:jc w:val="both"/>
        <w:rPr>
          <w:b/>
        </w:rPr>
      </w:pPr>
      <w:r w:rsidRPr="0041464B">
        <w:rPr>
          <w:b/>
        </w:rPr>
        <w:t>RAPORT Z OCENY FUNKCJONOWANIA POLIT</w:t>
      </w:r>
      <w:r w:rsidR="007E602E">
        <w:rPr>
          <w:b/>
        </w:rPr>
        <w:t xml:space="preserve">YKI WYNAGRADZANIA W BANKU W 2020 </w:t>
      </w:r>
      <w:r w:rsidRPr="0041464B">
        <w:rPr>
          <w:b/>
        </w:rPr>
        <w:t>ROKU</w:t>
      </w:r>
    </w:p>
    <w:p w14:paraId="6C8E314B" w14:textId="77777777" w:rsidR="00B72EA9" w:rsidRPr="0041464B" w:rsidRDefault="00B72EA9" w:rsidP="00B72EA9">
      <w:pPr>
        <w:pStyle w:val="Tekstpodstawowy"/>
        <w:ind w:left="972"/>
        <w:jc w:val="both"/>
        <w:rPr>
          <w:b/>
        </w:rPr>
      </w:pPr>
    </w:p>
    <w:p w14:paraId="10629C15" w14:textId="6CA7454B" w:rsidR="00B72EA9" w:rsidRPr="0041464B" w:rsidRDefault="00B72EA9" w:rsidP="00904A51">
      <w:pPr>
        <w:pStyle w:val="Tekstpodstawowy"/>
        <w:numPr>
          <w:ilvl w:val="0"/>
          <w:numId w:val="13"/>
        </w:numPr>
        <w:jc w:val="both"/>
      </w:pPr>
      <w:r w:rsidRPr="0041464B">
        <w:t>Polityka wynagradzania w Banku jest zgodna ze strategią, wartościami oraz apetytem na ryzyko Banku, a także wspiera długoterminowe interesy Banku oraz j</w:t>
      </w:r>
      <w:r w:rsidR="004F5856" w:rsidRPr="0041464B">
        <w:t>ego klientów. Ponadto promuje i </w:t>
      </w:r>
      <w:r w:rsidRPr="0041464B">
        <w:t>wspiera proces efektywnego zarządzania ryzykiem, w celu utrzymania i ochrony bezpiecznej bazy kapitałowej Banku, nie zachęca do podejmowania nadmiernego ryzyka wykraczającego poza zaakceptowaną przez Radę Nadzorczą skłonność do ryzyka Banku oraz opiera się na zarządzaniu wynikami pracy, łączącym cele indywidualne z dług</w:t>
      </w:r>
      <w:r w:rsidR="004F5856" w:rsidRPr="0041464B">
        <w:t>ookresową strategią biznesową i </w:t>
      </w:r>
      <w:r w:rsidRPr="0041464B">
        <w:t>zapewniającym stabilny rozwój.</w:t>
      </w:r>
    </w:p>
    <w:p w14:paraId="634E1249" w14:textId="77777777" w:rsidR="00904A51" w:rsidRPr="0041464B" w:rsidRDefault="00904A51" w:rsidP="00904A51">
      <w:pPr>
        <w:pStyle w:val="Tekstpodstawowy"/>
        <w:ind w:left="720"/>
        <w:jc w:val="both"/>
      </w:pPr>
    </w:p>
    <w:p w14:paraId="1D469FE5" w14:textId="7BE590D4" w:rsidR="00B72EA9" w:rsidRPr="0041464B" w:rsidRDefault="007E602E" w:rsidP="00B72EA9">
      <w:pPr>
        <w:pStyle w:val="Tekstpodstawowy"/>
        <w:numPr>
          <w:ilvl w:val="0"/>
          <w:numId w:val="13"/>
        </w:numPr>
        <w:jc w:val="both"/>
      </w:pPr>
      <w:r>
        <w:t>W 2020</w:t>
      </w:r>
      <w:r w:rsidR="00B72EA9" w:rsidRPr="0041464B">
        <w:t xml:space="preserve"> roku cele</w:t>
      </w:r>
      <w:r w:rsidR="00D478A4" w:rsidRPr="0041464B">
        <w:t>m</w:t>
      </w:r>
      <w:r w:rsidR="00B72EA9" w:rsidRPr="0041464B">
        <w:t xml:space="preserve"> polityki wynagrodzeń </w:t>
      </w:r>
      <w:r w:rsidR="00D478A4" w:rsidRPr="0041464B">
        <w:t xml:space="preserve">było </w:t>
      </w:r>
      <w:r w:rsidR="00B72EA9" w:rsidRPr="0041464B">
        <w:t>efektywne ws</w:t>
      </w:r>
      <w:r w:rsidR="00D478A4" w:rsidRPr="0041464B">
        <w:t>pieranie celów strategicznych i </w:t>
      </w:r>
      <w:r w:rsidR="00B72EA9" w:rsidRPr="0041464B">
        <w:t>systematyczne dostosowywanie płac do poziomu rynkowego.</w:t>
      </w:r>
      <w:r w:rsidR="00904A51" w:rsidRPr="0041464B">
        <w:t xml:space="preserve"> </w:t>
      </w:r>
    </w:p>
    <w:p w14:paraId="06EF7F78" w14:textId="3E3427F8" w:rsidR="0012070A" w:rsidRPr="00934C94" w:rsidRDefault="0012070A" w:rsidP="001378F9">
      <w:pPr>
        <w:pStyle w:val="Akapitzlist"/>
        <w:ind w:left="576" w:firstLine="0"/>
        <w:jc w:val="both"/>
        <w:rPr>
          <w:sz w:val="20"/>
          <w:szCs w:val="20"/>
        </w:rPr>
      </w:pPr>
      <w:r w:rsidRPr="00934C94">
        <w:rPr>
          <w:sz w:val="20"/>
          <w:szCs w:val="20"/>
        </w:rPr>
        <w:t xml:space="preserve">Mając na uwadze wyniki przeglądu płacowego, </w:t>
      </w:r>
      <w:r w:rsidR="00083F98" w:rsidRPr="00934C94">
        <w:rPr>
          <w:sz w:val="20"/>
          <w:szCs w:val="20"/>
        </w:rPr>
        <w:t>podjęto</w:t>
      </w:r>
      <w:r w:rsidRPr="00934C94">
        <w:rPr>
          <w:sz w:val="20"/>
          <w:szCs w:val="20"/>
        </w:rPr>
        <w:t xml:space="preserve"> decyzję o uruchomieniu akcji podwyżkowej dla pracowników od kwietnia 20</w:t>
      </w:r>
      <w:r w:rsidR="00D07B7A" w:rsidRPr="00934C94">
        <w:rPr>
          <w:sz w:val="20"/>
          <w:szCs w:val="20"/>
        </w:rPr>
        <w:t>20</w:t>
      </w:r>
      <w:r w:rsidRPr="00934C94">
        <w:rPr>
          <w:sz w:val="20"/>
          <w:szCs w:val="20"/>
        </w:rPr>
        <w:t xml:space="preserve"> roku. </w:t>
      </w:r>
    </w:p>
    <w:p w14:paraId="37C19599" w14:textId="1769C324" w:rsidR="00904A51" w:rsidRDefault="0012070A" w:rsidP="001378F9">
      <w:pPr>
        <w:pStyle w:val="Akapitzlist"/>
        <w:ind w:left="576" w:firstLine="0"/>
        <w:jc w:val="both"/>
        <w:rPr>
          <w:rFonts w:cs="Arial"/>
          <w:sz w:val="20"/>
          <w:szCs w:val="20"/>
        </w:rPr>
      </w:pPr>
      <w:r w:rsidRPr="00934C94">
        <w:rPr>
          <w:sz w:val="20"/>
          <w:szCs w:val="20"/>
        </w:rPr>
        <w:t>Jednocześnie zgodnie z praktyką rynkową zaktualizowano tablice wynagrodzeń podwyższając poziomy maksymalne płac</w:t>
      </w:r>
      <w:r w:rsidRPr="00934C94">
        <w:rPr>
          <w:rFonts w:cs="Arial"/>
          <w:sz w:val="20"/>
          <w:szCs w:val="20"/>
        </w:rPr>
        <w:t>.</w:t>
      </w:r>
    </w:p>
    <w:p w14:paraId="4F6FFE77" w14:textId="77777777" w:rsidR="0041464B" w:rsidRPr="0041464B" w:rsidRDefault="0041464B" w:rsidP="001378F9">
      <w:pPr>
        <w:pStyle w:val="Akapitzlist"/>
        <w:ind w:left="576" w:firstLine="0"/>
        <w:jc w:val="both"/>
      </w:pPr>
    </w:p>
    <w:p w14:paraId="15DD256D" w14:textId="71EE269D" w:rsidR="009C6474" w:rsidRPr="00934C94" w:rsidRDefault="0012070A" w:rsidP="001378F9">
      <w:pPr>
        <w:pStyle w:val="Tekstpodstawowy"/>
        <w:numPr>
          <w:ilvl w:val="0"/>
          <w:numId w:val="13"/>
        </w:numPr>
        <w:jc w:val="both"/>
      </w:pPr>
      <w:r w:rsidRPr="0041464B">
        <w:t xml:space="preserve">W Banku </w:t>
      </w:r>
      <w:r w:rsidR="00083F98" w:rsidRPr="0041464B">
        <w:t>funkcjonuje</w:t>
      </w:r>
      <w:r w:rsidRPr="0041464B">
        <w:t xml:space="preserve"> system rozliczania celów Step </w:t>
      </w:r>
      <w:proofErr w:type="spellStart"/>
      <w:r w:rsidRPr="0041464B">
        <w:t>up</w:t>
      </w:r>
      <w:proofErr w:type="spellEnd"/>
      <w:r w:rsidRPr="0041464B">
        <w:t>, który łączy ocenę</w:t>
      </w:r>
      <w:r w:rsidR="00083F98" w:rsidRPr="0041464B">
        <w:t>:</w:t>
      </w:r>
      <w:r w:rsidRPr="0041464B">
        <w:t xml:space="preserve"> wyników pracy, kreację </w:t>
      </w:r>
      <w:r w:rsidRPr="00934C94">
        <w:t xml:space="preserve">silnej kultury organizacyjnej oraz </w:t>
      </w:r>
      <w:r w:rsidR="00083F98" w:rsidRPr="00934C94">
        <w:t xml:space="preserve">realizację wyzwań. </w:t>
      </w:r>
      <w:r w:rsidR="000366B1" w:rsidRPr="00934C94">
        <w:t xml:space="preserve">Zgodnie z zasadami Regulaminu oceny pracowników ING Banku Hipotecznego S.A. (Step </w:t>
      </w:r>
      <w:proofErr w:type="spellStart"/>
      <w:r w:rsidR="000366B1" w:rsidRPr="00934C94">
        <w:t>Up</w:t>
      </w:r>
      <w:proofErr w:type="spellEnd"/>
      <w:r w:rsidR="000366B1" w:rsidRPr="00934C94">
        <w:t>), w</w:t>
      </w:r>
      <w:r w:rsidRPr="00934C94">
        <w:t xml:space="preserve"> lutym 20</w:t>
      </w:r>
      <w:r w:rsidR="00D07B7A" w:rsidRPr="00934C94">
        <w:t>20</w:t>
      </w:r>
      <w:r w:rsidR="0041464B" w:rsidRPr="00934C94">
        <w:t xml:space="preserve"> roku</w:t>
      </w:r>
      <w:r w:rsidRPr="00934C94">
        <w:t xml:space="preserve"> wypłacon</w:t>
      </w:r>
      <w:r w:rsidR="009C6474" w:rsidRPr="00934C94">
        <w:t xml:space="preserve">o </w:t>
      </w:r>
      <w:r w:rsidRPr="00934C94">
        <w:t>premi</w:t>
      </w:r>
      <w:r w:rsidR="009C6474" w:rsidRPr="00934C94">
        <w:t>ę</w:t>
      </w:r>
      <w:r w:rsidRPr="00934C94">
        <w:t xml:space="preserve"> dla pracowników banku w rama</w:t>
      </w:r>
      <w:r w:rsidR="009C6474" w:rsidRPr="00934C94">
        <w:t>ch rezerwy utworzonej na ten cel.</w:t>
      </w:r>
    </w:p>
    <w:p w14:paraId="38180D97" w14:textId="0146EFBE" w:rsidR="00BE41FC" w:rsidRPr="00934C94" w:rsidRDefault="00B72EA9" w:rsidP="00BE41FC">
      <w:pPr>
        <w:pStyle w:val="Akapitzlist"/>
        <w:widowControl/>
        <w:numPr>
          <w:ilvl w:val="0"/>
          <w:numId w:val="13"/>
        </w:numPr>
        <w:autoSpaceDE/>
        <w:autoSpaceDN/>
        <w:spacing w:before="120" w:after="120"/>
        <w:jc w:val="both"/>
        <w:rPr>
          <w:sz w:val="20"/>
          <w:szCs w:val="20"/>
        </w:rPr>
      </w:pPr>
      <w:r w:rsidRPr="00934C94">
        <w:rPr>
          <w:sz w:val="20"/>
          <w:szCs w:val="20"/>
        </w:rPr>
        <w:t xml:space="preserve">W marcu </w:t>
      </w:r>
      <w:r w:rsidR="009C7651" w:rsidRPr="00934C94">
        <w:rPr>
          <w:sz w:val="20"/>
          <w:szCs w:val="20"/>
        </w:rPr>
        <w:t>20</w:t>
      </w:r>
      <w:r w:rsidR="00D07B7A" w:rsidRPr="00934C94">
        <w:rPr>
          <w:sz w:val="20"/>
          <w:szCs w:val="20"/>
        </w:rPr>
        <w:t>20</w:t>
      </w:r>
      <w:r w:rsidRPr="00934C94">
        <w:rPr>
          <w:sz w:val="20"/>
          <w:szCs w:val="20"/>
        </w:rPr>
        <w:t xml:space="preserve"> r</w:t>
      </w:r>
      <w:r w:rsidR="0041464B" w:rsidRPr="00934C94">
        <w:rPr>
          <w:sz w:val="20"/>
          <w:szCs w:val="20"/>
        </w:rPr>
        <w:t>oku</w:t>
      </w:r>
      <w:r w:rsidRPr="00934C94">
        <w:rPr>
          <w:sz w:val="20"/>
          <w:szCs w:val="20"/>
        </w:rPr>
        <w:t xml:space="preserve"> dokonano rozliczenia premii pracowników zajmujących stanowiska </w:t>
      </w:r>
      <w:proofErr w:type="spellStart"/>
      <w:r w:rsidRPr="00934C94">
        <w:rPr>
          <w:sz w:val="20"/>
          <w:szCs w:val="20"/>
        </w:rPr>
        <w:t>Identified</w:t>
      </w:r>
      <w:proofErr w:type="spellEnd"/>
      <w:r w:rsidRPr="00934C94">
        <w:rPr>
          <w:sz w:val="20"/>
          <w:szCs w:val="20"/>
        </w:rPr>
        <w:t xml:space="preserve"> Staff zgodnie z zasadami Polityki zmiennych składników wynagrodzeń dla </w:t>
      </w:r>
      <w:proofErr w:type="spellStart"/>
      <w:r w:rsidRPr="00934C94">
        <w:rPr>
          <w:sz w:val="20"/>
          <w:szCs w:val="20"/>
        </w:rPr>
        <w:t>Identified</w:t>
      </w:r>
      <w:proofErr w:type="spellEnd"/>
      <w:r w:rsidRPr="00934C94">
        <w:rPr>
          <w:sz w:val="20"/>
          <w:szCs w:val="20"/>
        </w:rPr>
        <w:t xml:space="preserve"> Staff ING Banku </w:t>
      </w:r>
      <w:r w:rsidR="009C7651" w:rsidRPr="00934C94">
        <w:rPr>
          <w:sz w:val="20"/>
          <w:szCs w:val="20"/>
        </w:rPr>
        <w:lastRenderedPageBreak/>
        <w:t>Hipotecznego</w:t>
      </w:r>
      <w:r w:rsidRPr="00934C94">
        <w:rPr>
          <w:sz w:val="20"/>
          <w:szCs w:val="20"/>
        </w:rPr>
        <w:t xml:space="preserve"> S.A.</w:t>
      </w:r>
      <w:r w:rsidR="009C6474" w:rsidRPr="00934C94">
        <w:rPr>
          <w:sz w:val="20"/>
          <w:szCs w:val="20"/>
        </w:rPr>
        <w:t xml:space="preserve"> </w:t>
      </w:r>
      <w:r w:rsidR="0012070A" w:rsidRPr="00934C94">
        <w:rPr>
          <w:sz w:val="20"/>
          <w:szCs w:val="20"/>
        </w:rPr>
        <w:t>ustalono wynagrodzenie zmienne za 20</w:t>
      </w:r>
      <w:r w:rsidR="00D07B7A" w:rsidRPr="00934C94">
        <w:rPr>
          <w:sz w:val="20"/>
          <w:szCs w:val="20"/>
        </w:rPr>
        <w:t>19</w:t>
      </w:r>
      <w:r w:rsidR="0012070A" w:rsidRPr="00934C94">
        <w:rPr>
          <w:sz w:val="20"/>
          <w:szCs w:val="20"/>
        </w:rPr>
        <w:t xml:space="preserve"> rok oraz przyznano część nieodroczoną premii.</w:t>
      </w:r>
      <w:r w:rsidR="00BE41FC" w:rsidRPr="00934C94">
        <w:rPr>
          <w:sz w:val="20"/>
          <w:szCs w:val="20"/>
        </w:rPr>
        <w:t xml:space="preserve"> </w:t>
      </w:r>
    </w:p>
    <w:p w14:paraId="75B10B27" w14:textId="1967F7A2" w:rsidR="00EE06AC" w:rsidRPr="00934C94" w:rsidRDefault="00D07B7A" w:rsidP="00EE06AC">
      <w:pPr>
        <w:pStyle w:val="Akapitzlist"/>
        <w:widowControl/>
        <w:numPr>
          <w:ilvl w:val="0"/>
          <w:numId w:val="13"/>
        </w:numPr>
        <w:autoSpaceDE/>
        <w:autoSpaceDN/>
        <w:spacing w:before="120" w:after="120"/>
        <w:jc w:val="both"/>
        <w:rPr>
          <w:rFonts w:cs="Arial"/>
          <w:sz w:val="20"/>
          <w:szCs w:val="20"/>
        </w:rPr>
      </w:pPr>
      <w:r w:rsidRPr="00934C94">
        <w:rPr>
          <w:rFonts w:cs="Arial"/>
          <w:sz w:val="20"/>
          <w:szCs w:val="20"/>
        </w:rPr>
        <w:t>Zgodnie z zapisami w</w:t>
      </w:r>
      <w:r w:rsidR="00BE41FC" w:rsidRPr="00934C94">
        <w:rPr>
          <w:rFonts w:cs="Arial"/>
          <w:sz w:val="20"/>
          <w:szCs w:val="20"/>
        </w:rPr>
        <w:t xml:space="preserve"> </w:t>
      </w:r>
      <w:r w:rsidR="00BE41FC" w:rsidRPr="00934C94">
        <w:rPr>
          <w:rFonts w:cs="Arial"/>
          <w:i/>
          <w:sz w:val="20"/>
          <w:szCs w:val="20"/>
        </w:rPr>
        <w:t xml:space="preserve">Regulaminie oceny pracowników ING Banku Hipotecznego S.A. (Step </w:t>
      </w:r>
      <w:proofErr w:type="spellStart"/>
      <w:r w:rsidR="00BE41FC" w:rsidRPr="00934C94">
        <w:rPr>
          <w:rFonts w:cs="Arial"/>
          <w:i/>
          <w:sz w:val="20"/>
          <w:szCs w:val="20"/>
        </w:rPr>
        <w:t>up</w:t>
      </w:r>
      <w:proofErr w:type="spellEnd"/>
      <w:r w:rsidR="00BE41FC" w:rsidRPr="00934C94">
        <w:rPr>
          <w:rFonts w:cs="Arial"/>
          <w:i/>
          <w:sz w:val="20"/>
          <w:szCs w:val="20"/>
        </w:rPr>
        <w:t>)</w:t>
      </w:r>
      <w:r w:rsidR="00BE41FC" w:rsidRPr="00934C94">
        <w:rPr>
          <w:rFonts w:cs="Arial"/>
          <w:sz w:val="20"/>
          <w:szCs w:val="20"/>
        </w:rPr>
        <w:t xml:space="preserve"> oraz </w:t>
      </w:r>
      <w:r w:rsidR="00BE41FC" w:rsidRPr="00934C94">
        <w:rPr>
          <w:rFonts w:cs="Arial"/>
          <w:i/>
          <w:sz w:val="20"/>
          <w:szCs w:val="20"/>
        </w:rPr>
        <w:t xml:space="preserve">Regulaminie oceny </w:t>
      </w:r>
      <w:proofErr w:type="spellStart"/>
      <w:r w:rsidR="00BE41FC" w:rsidRPr="00934C94">
        <w:rPr>
          <w:rFonts w:cs="Arial"/>
          <w:i/>
          <w:sz w:val="20"/>
          <w:szCs w:val="20"/>
        </w:rPr>
        <w:t>Identified</w:t>
      </w:r>
      <w:proofErr w:type="spellEnd"/>
      <w:r w:rsidR="00BE41FC" w:rsidRPr="00934C94">
        <w:rPr>
          <w:rFonts w:cs="Arial"/>
          <w:i/>
          <w:sz w:val="20"/>
          <w:szCs w:val="20"/>
        </w:rPr>
        <w:t xml:space="preserve"> Staff ING Banku Hipotecznego S.A.</w:t>
      </w:r>
      <w:r w:rsidR="00BE41FC" w:rsidRPr="00934C94">
        <w:rPr>
          <w:rFonts w:cs="Arial"/>
          <w:sz w:val="20"/>
          <w:szCs w:val="20"/>
        </w:rPr>
        <w:t>, zgodnie z którymi Zarząd Banku ustala w porozumieniu z Radą Nadzorczą wysokość puli na wynagrodzenia zmienne pracowników. Na podstawie ustalonej wysokości Zarząd może podjąć decyzję o zastosowaniu wskaźnika korygującego potencjały premiowe zarówno zwiększając jak i zmniejszając ich wysokość.</w:t>
      </w:r>
    </w:p>
    <w:p w14:paraId="12E951D0" w14:textId="4493D0C1" w:rsidR="00E618EE" w:rsidRDefault="00E618EE" w:rsidP="00934C94">
      <w:pPr>
        <w:pStyle w:val="Akapitzlist"/>
        <w:widowControl/>
        <w:autoSpaceDE/>
        <w:autoSpaceDN/>
        <w:spacing w:before="120" w:after="120"/>
        <w:ind w:left="612" w:firstLine="0"/>
        <w:jc w:val="both"/>
        <w:rPr>
          <w:rFonts w:cs="Arial"/>
          <w:sz w:val="20"/>
          <w:szCs w:val="20"/>
        </w:rPr>
      </w:pPr>
      <w:r w:rsidRPr="00E618EE">
        <w:rPr>
          <w:rFonts w:cs="Arial"/>
          <w:sz w:val="20"/>
          <w:szCs w:val="20"/>
        </w:rPr>
        <w:t xml:space="preserve">Od 2020 roku nastąpiło obniżenie potencjałów premiowych dla wynagrodzenia zmiennego </w:t>
      </w:r>
      <w:proofErr w:type="spellStart"/>
      <w:r w:rsidRPr="00E618EE">
        <w:rPr>
          <w:rFonts w:cs="Arial"/>
          <w:sz w:val="20"/>
          <w:szCs w:val="20"/>
        </w:rPr>
        <w:t>Identified</w:t>
      </w:r>
      <w:proofErr w:type="spellEnd"/>
      <w:r w:rsidRPr="00E618EE">
        <w:rPr>
          <w:rFonts w:cs="Arial"/>
          <w:sz w:val="20"/>
          <w:szCs w:val="20"/>
        </w:rPr>
        <w:t xml:space="preserve"> Staff zgodnie z zasadami przyjętymi w Grupie ING Banku Śląskiego S.A.</w:t>
      </w:r>
    </w:p>
    <w:p w14:paraId="7179938F" w14:textId="386A81C9" w:rsidR="00E618EE" w:rsidRDefault="00E618EE" w:rsidP="00934C94">
      <w:pPr>
        <w:pStyle w:val="Akapitzlist"/>
        <w:widowControl/>
        <w:autoSpaceDE/>
        <w:autoSpaceDN/>
        <w:spacing w:before="120" w:after="120"/>
        <w:ind w:left="612" w:firstLine="0"/>
        <w:jc w:val="both"/>
        <w:rPr>
          <w:rFonts w:cs="Arial"/>
          <w:sz w:val="20"/>
          <w:szCs w:val="20"/>
        </w:rPr>
      </w:pPr>
    </w:p>
    <w:p w14:paraId="60EFD09E" w14:textId="77777777" w:rsidR="00E618EE" w:rsidRDefault="00E618EE" w:rsidP="00934C94">
      <w:pPr>
        <w:pStyle w:val="Akapitzlist"/>
        <w:widowControl/>
        <w:numPr>
          <w:ilvl w:val="0"/>
          <w:numId w:val="13"/>
        </w:numPr>
        <w:autoSpaceDE/>
        <w:autoSpaceDN/>
        <w:spacing w:before="120" w:after="120"/>
        <w:jc w:val="both"/>
        <w:rPr>
          <w:rFonts w:cs="Arial"/>
          <w:sz w:val="20"/>
          <w:szCs w:val="20"/>
        </w:rPr>
      </w:pPr>
      <w:r w:rsidRPr="00E618EE">
        <w:rPr>
          <w:rFonts w:cs="Arial"/>
          <w:sz w:val="20"/>
          <w:szCs w:val="20"/>
        </w:rPr>
        <w:t xml:space="preserve">W 2020 roku w Regulaminie oceny pracowników ING Banku Hipotecznego S.A. (Step </w:t>
      </w:r>
      <w:proofErr w:type="spellStart"/>
      <w:r w:rsidRPr="00E618EE">
        <w:rPr>
          <w:rFonts w:cs="Arial"/>
          <w:sz w:val="20"/>
          <w:szCs w:val="20"/>
        </w:rPr>
        <w:t>up</w:t>
      </w:r>
      <w:proofErr w:type="spellEnd"/>
      <w:r w:rsidRPr="00E618EE">
        <w:rPr>
          <w:rFonts w:cs="Arial"/>
          <w:sz w:val="20"/>
          <w:szCs w:val="20"/>
        </w:rPr>
        <w:t xml:space="preserve">) oraz Regulaminie oceny </w:t>
      </w:r>
      <w:proofErr w:type="spellStart"/>
      <w:r w:rsidRPr="00E618EE">
        <w:rPr>
          <w:rFonts w:cs="Arial"/>
          <w:sz w:val="20"/>
          <w:szCs w:val="20"/>
        </w:rPr>
        <w:t>Identified</w:t>
      </w:r>
      <w:proofErr w:type="spellEnd"/>
      <w:r w:rsidRPr="00E618EE">
        <w:rPr>
          <w:rFonts w:cs="Arial"/>
          <w:sz w:val="20"/>
          <w:szCs w:val="20"/>
        </w:rPr>
        <w:t xml:space="preserve"> Staff ING Banku Hipotecznego S.A. dodano zapisy zgodnie z którymi:</w:t>
      </w:r>
    </w:p>
    <w:p w14:paraId="61CDBCFF" w14:textId="77777777" w:rsidR="00E618EE" w:rsidRDefault="00E618EE" w:rsidP="00934C94">
      <w:pPr>
        <w:pStyle w:val="Akapitzlist"/>
        <w:widowControl/>
        <w:numPr>
          <w:ilvl w:val="0"/>
          <w:numId w:val="22"/>
        </w:numPr>
        <w:autoSpaceDE/>
        <w:autoSpaceDN/>
        <w:spacing w:before="120" w:after="120"/>
        <w:jc w:val="both"/>
        <w:rPr>
          <w:rFonts w:cs="Arial"/>
          <w:sz w:val="20"/>
          <w:szCs w:val="20"/>
        </w:rPr>
      </w:pPr>
      <w:r w:rsidRPr="00934C94">
        <w:rPr>
          <w:rFonts w:cs="Arial"/>
          <w:sz w:val="20"/>
          <w:szCs w:val="20"/>
        </w:rPr>
        <w:t>w przypadku gdy zysk brutto Banku wyniesie mniej niż 80% narastająco za dany rok, zasady uruchomienia premii rocznej określone w Regulaminie oceny nie obowiązują, a decyzje o przyznaniu premii podejmuje Zarząd Banku uznaniowo.</w:t>
      </w:r>
    </w:p>
    <w:p w14:paraId="4BC7883D" w14:textId="20150782" w:rsidR="00E618EE" w:rsidRPr="00934C94" w:rsidRDefault="00E618EE" w:rsidP="00934C94">
      <w:pPr>
        <w:pStyle w:val="Akapitzlist"/>
        <w:widowControl/>
        <w:numPr>
          <w:ilvl w:val="0"/>
          <w:numId w:val="22"/>
        </w:numPr>
        <w:autoSpaceDE/>
        <w:autoSpaceDN/>
        <w:spacing w:before="120" w:after="120"/>
        <w:jc w:val="both"/>
        <w:rPr>
          <w:rFonts w:cs="Arial"/>
          <w:sz w:val="20"/>
          <w:szCs w:val="20"/>
        </w:rPr>
      </w:pPr>
      <w:r w:rsidRPr="00934C94">
        <w:rPr>
          <w:rFonts w:cs="Arial"/>
          <w:sz w:val="20"/>
          <w:szCs w:val="20"/>
        </w:rPr>
        <w:t>wydłuża się okres odroczenia wynagrodzenia zmiennego do 5 lat dla IDS i członków Zarządu.</w:t>
      </w:r>
    </w:p>
    <w:p w14:paraId="6901CE70" w14:textId="0048DFD6" w:rsidR="00E618EE" w:rsidRDefault="004B7251" w:rsidP="00934C94">
      <w:pPr>
        <w:pStyle w:val="Akapitzlist"/>
        <w:widowControl/>
        <w:autoSpaceDE/>
        <w:autoSpaceDN/>
        <w:spacing w:before="120" w:after="120"/>
        <w:ind w:left="612" w:firstLine="0"/>
        <w:jc w:val="both"/>
        <w:rPr>
          <w:rFonts w:cs="Arial"/>
          <w:sz w:val="20"/>
          <w:szCs w:val="20"/>
        </w:rPr>
      </w:pPr>
      <w:r>
        <w:rPr>
          <w:rFonts w:cs="Arial"/>
          <w:sz w:val="20"/>
          <w:szCs w:val="20"/>
        </w:rPr>
        <w:t xml:space="preserve">Zapisy pkt </w:t>
      </w:r>
      <w:r w:rsidR="00E618EE" w:rsidRPr="00E618EE">
        <w:rPr>
          <w:rFonts w:cs="Arial"/>
          <w:sz w:val="20"/>
          <w:szCs w:val="20"/>
        </w:rPr>
        <w:t>6 wchodzą w życie od 2021 roku.</w:t>
      </w:r>
    </w:p>
    <w:p w14:paraId="1FF186F4" w14:textId="77777777" w:rsidR="00252FD6" w:rsidRDefault="00252FD6" w:rsidP="00934C94"/>
    <w:p w14:paraId="31614FBB" w14:textId="42CC7C12" w:rsidR="0041464B" w:rsidRPr="00934C94" w:rsidRDefault="00B72EA9" w:rsidP="00934C94">
      <w:pPr>
        <w:pStyle w:val="Akapitzlist"/>
        <w:widowControl/>
        <w:numPr>
          <w:ilvl w:val="0"/>
          <w:numId w:val="13"/>
        </w:numPr>
        <w:autoSpaceDE/>
        <w:autoSpaceDN/>
        <w:spacing w:before="120" w:after="120"/>
        <w:jc w:val="both"/>
        <w:rPr>
          <w:sz w:val="20"/>
          <w:szCs w:val="20"/>
        </w:rPr>
      </w:pPr>
      <w:r w:rsidRPr="00934C94">
        <w:rPr>
          <w:sz w:val="20"/>
          <w:szCs w:val="20"/>
        </w:rPr>
        <w:t xml:space="preserve">W roku </w:t>
      </w:r>
      <w:r w:rsidR="009C7651" w:rsidRPr="00934C94">
        <w:rPr>
          <w:sz w:val="20"/>
          <w:szCs w:val="20"/>
        </w:rPr>
        <w:t>20</w:t>
      </w:r>
      <w:r w:rsidR="00E618EE" w:rsidRPr="00934C94">
        <w:rPr>
          <w:sz w:val="20"/>
          <w:szCs w:val="20"/>
        </w:rPr>
        <w:t>20</w:t>
      </w:r>
      <w:r w:rsidRPr="00934C94">
        <w:rPr>
          <w:sz w:val="20"/>
          <w:szCs w:val="20"/>
        </w:rPr>
        <w:t xml:space="preserve"> utrzymano Metodologię aktualizacji Wykazu </w:t>
      </w:r>
      <w:proofErr w:type="spellStart"/>
      <w:r w:rsidRPr="00934C94">
        <w:rPr>
          <w:sz w:val="20"/>
          <w:szCs w:val="20"/>
        </w:rPr>
        <w:t>Identified</w:t>
      </w:r>
      <w:proofErr w:type="spellEnd"/>
      <w:r w:rsidRPr="00934C94">
        <w:rPr>
          <w:sz w:val="20"/>
          <w:szCs w:val="20"/>
        </w:rPr>
        <w:t xml:space="preserve"> Staff ING Banku </w:t>
      </w:r>
      <w:r w:rsidR="009C7651" w:rsidRPr="00934C94">
        <w:rPr>
          <w:sz w:val="20"/>
          <w:szCs w:val="20"/>
        </w:rPr>
        <w:t>Hipotecznego</w:t>
      </w:r>
      <w:r w:rsidRPr="00934C94">
        <w:rPr>
          <w:sz w:val="20"/>
          <w:szCs w:val="20"/>
        </w:rPr>
        <w:t xml:space="preserve"> S.A., która służy identyfikacji pracowników, których działalność zawodowa ma istotny wpływ na profil ryzyka danej instytucji finansowej (zgodnie z wytycznymi Europejskiego Urzędu Nadzoru Bankowego dotyczących prawidłowej polityki wynagrodzeń, o których mowa w art. 74 ust. 3 i 75 ust. 2 dyrektywy 2013/36/UE i ujawniania informacji zgodnie z art. 450 rozporządzenia (UE) nr 575/2013). Metodologia zakłada coroczną aktualizację kryteriów kwalifikujących pracowników jako IDS. Aktualizacja Wykazu prowadzona jes</w:t>
      </w:r>
      <w:r w:rsidR="00C67F06" w:rsidRPr="00934C94">
        <w:rPr>
          <w:sz w:val="20"/>
          <w:szCs w:val="20"/>
        </w:rPr>
        <w:t xml:space="preserve">t na bieżąco przez </w:t>
      </w:r>
      <w:r w:rsidR="00904A51" w:rsidRPr="00934C94">
        <w:rPr>
          <w:sz w:val="20"/>
          <w:szCs w:val="20"/>
        </w:rPr>
        <w:t>HR</w:t>
      </w:r>
      <w:r w:rsidR="0041464B" w:rsidRPr="00934C94">
        <w:rPr>
          <w:sz w:val="20"/>
          <w:szCs w:val="20"/>
        </w:rPr>
        <w:t>.</w:t>
      </w:r>
      <w:r w:rsidR="00E618EE" w:rsidRPr="00934C94">
        <w:rPr>
          <w:sz w:val="20"/>
          <w:szCs w:val="20"/>
        </w:rPr>
        <w:t xml:space="preserve"> Z</w:t>
      </w:r>
      <w:r w:rsidR="00EE37EB">
        <w:rPr>
          <w:sz w:val="20"/>
          <w:szCs w:val="20"/>
        </w:rPr>
        <w:t xml:space="preserve"> Wykazu </w:t>
      </w:r>
      <w:proofErr w:type="spellStart"/>
      <w:r w:rsidR="00EE37EB">
        <w:rPr>
          <w:sz w:val="20"/>
          <w:szCs w:val="20"/>
        </w:rPr>
        <w:t>I</w:t>
      </w:r>
      <w:r w:rsidR="00E618EE">
        <w:rPr>
          <w:sz w:val="20"/>
          <w:szCs w:val="20"/>
        </w:rPr>
        <w:t>dentified</w:t>
      </w:r>
      <w:proofErr w:type="spellEnd"/>
      <w:r w:rsidR="00E618EE">
        <w:rPr>
          <w:sz w:val="20"/>
          <w:szCs w:val="20"/>
        </w:rPr>
        <w:t xml:space="preserve"> Staff na 2020 rok wyłączono stanowiska: </w:t>
      </w:r>
      <w:proofErr w:type="spellStart"/>
      <w:r w:rsidR="00E618EE">
        <w:rPr>
          <w:sz w:val="20"/>
          <w:szCs w:val="20"/>
        </w:rPr>
        <w:t>Treasury</w:t>
      </w:r>
      <w:proofErr w:type="spellEnd"/>
      <w:r w:rsidR="00E618EE">
        <w:rPr>
          <w:sz w:val="20"/>
          <w:szCs w:val="20"/>
        </w:rPr>
        <w:t xml:space="preserve"> Dealer, Radca prawny, Stanowisko ds. ryzyka kredytowego. </w:t>
      </w:r>
    </w:p>
    <w:p w14:paraId="3EFFC63C" w14:textId="128BB8E9" w:rsidR="0041464B" w:rsidRDefault="0041464B" w:rsidP="00252FD6">
      <w:pPr>
        <w:widowControl/>
        <w:autoSpaceDE/>
        <w:autoSpaceDN/>
        <w:spacing w:before="120" w:after="120"/>
        <w:jc w:val="both"/>
      </w:pPr>
    </w:p>
    <w:p w14:paraId="335E75DA" w14:textId="41E7C59F" w:rsidR="001609EE" w:rsidRPr="0041464B" w:rsidRDefault="007E602E" w:rsidP="008C1D92">
      <w:pPr>
        <w:widowControl/>
        <w:autoSpaceDE/>
        <w:autoSpaceDN/>
        <w:spacing w:before="120" w:after="120"/>
        <w:ind w:left="252"/>
        <w:jc w:val="both"/>
      </w:pPr>
      <w:r>
        <w:rPr>
          <w:b/>
        </w:rPr>
        <w:t>Rada Nadzorcza ocenia, że w 2020</w:t>
      </w:r>
      <w:r w:rsidR="00BE41FC" w:rsidRPr="0041464B">
        <w:rPr>
          <w:b/>
        </w:rPr>
        <w:t xml:space="preserve"> roku Bank w sposób prawidłowy realizował zasady </w:t>
      </w:r>
      <w:r w:rsidR="008C1D92">
        <w:rPr>
          <w:b/>
        </w:rPr>
        <w:t>przyjętej polityki wynagradzania.</w:t>
      </w:r>
    </w:p>
    <w:sectPr w:rsidR="001609EE" w:rsidRPr="0041464B">
      <w:headerReference w:type="default" r:id="rId8"/>
      <w:footerReference w:type="default" r:id="rId9"/>
      <w:pgSz w:w="11910" w:h="16840"/>
      <w:pgMar w:top="1660" w:right="1300" w:bottom="1060" w:left="1200" w:header="690" w:footer="8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18D17" w14:textId="77777777" w:rsidR="00402F0D" w:rsidRDefault="00402F0D">
      <w:r>
        <w:separator/>
      </w:r>
    </w:p>
  </w:endnote>
  <w:endnote w:type="continuationSeparator" w:id="0">
    <w:p w14:paraId="4AC068CC" w14:textId="77777777" w:rsidR="00402F0D" w:rsidRDefault="00402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G Me">
    <w:altName w:val="ING Me"/>
    <w:panose1 w:val="02000506040000020004"/>
    <w:charset w:val="EE"/>
    <w:family w:val="auto"/>
    <w:pitch w:val="variable"/>
    <w:sig w:usb0="A10002AF" w:usb1="5000607A"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5654A" w14:textId="2C189CED" w:rsidR="00612C2E" w:rsidRDefault="00AA06C3">
    <w:pPr>
      <w:pStyle w:val="Tekstpodstawowy"/>
      <w:spacing w:line="14" w:lineRule="auto"/>
    </w:pPr>
    <w:r>
      <w:rPr>
        <w:noProof/>
        <w:lang w:bidi="ar-SA"/>
      </w:rPr>
      <mc:AlternateContent>
        <mc:Choice Requires="wps">
          <w:drawing>
            <wp:anchor distT="0" distB="0" distL="114300" distR="114300" simplePos="0" relativeHeight="503308928" behindDoc="1" locked="0" layoutInCell="1" allowOverlap="1" wp14:anchorId="5527BC48" wp14:editId="646FB250">
              <wp:simplePos x="0" y="0"/>
              <wp:positionH relativeFrom="page">
                <wp:posOffset>881380</wp:posOffset>
              </wp:positionH>
              <wp:positionV relativeFrom="page">
                <wp:posOffset>9965690</wp:posOffset>
              </wp:positionV>
              <wp:extent cx="5791835" cy="0"/>
              <wp:effectExtent l="5080" t="12065" r="13335" b="698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8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65E35" id="Line 2" o:spid="_x0000_s1026" style="position:absolute;z-index:-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4pt,784.7pt" to="525.45pt,78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DEY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" strokeweight=".48pt">
              <w10:wrap anchorx="page" anchory="page"/>
            </v:line>
          </w:pict>
        </mc:Fallback>
      </mc:AlternateContent>
    </w:r>
    <w:r>
      <w:rPr>
        <w:noProof/>
        <w:lang w:bidi="ar-SA"/>
      </w:rPr>
      <mc:AlternateContent>
        <mc:Choice Requires="wps">
          <w:drawing>
            <wp:anchor distT="0" distB="0" distL="114300" distR="114300" simplePos="0" relativeHeight="503308952" behindDoc="1" locked="0" layoutInCell="1" allowOverlap="1" wp14:anchorId="706EF8E9" wp14:editId="3301D428">
              <wp:simplePos x="0" y="0"/>
              <wp:positionH relativeFrom="page">
                <wp:posOffset>6521450</wp:posOffset>
              </wp:positionH>
              <wp:positionV relativeFrom="page">
                <wp:posOffset>9954260</wp:posOffset>
              </wp:positionV>
              <wp:extent cx="167005" cy="155575"/>
              <wp:effectExtent l="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04BA7" w14:textId="101627AE" w:rsidR="00612C2E" w:rsidRDefault="008B73E3">
                          <w:pPr>
                            <w:spacing w:before="20"/>
                            <w:ind w:left="40"/>
                            <w:rPr>
                              <w:sz w:val="16"/>
                            </w:rPr>
                          </w:pPr>
                          <w:r>
                            <w:fldChar w:fldCharType="begin"/>
                          </w:r>
                          <w:r>
                            <w:rPr>
                              <w:sz w:val="16"/>
                            </w:rPr>
                            <w:instrText xml:space="preserve"> PAGE </w:instrText>
                          </w:r>
                          <w:r>
                            <w:fldChar w:fldCharType="separate"/>
                          </w:r>
                          <w:r w:rsidR="00DB328C">
                            <w:rPr>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EF8E9" id="_x0000_t202" coordsize="21600,21600" o:spt="202" path="m,l,21600r21600,l21600,xe">
              <v:stroke joinstyle="miter"/>
              <v:path gradientshapeok="t" o:connecttype="rect"/>
            </v:shapetype>
            <v:shape id="Text Box 1" o:spid="_x0000_s1027" type="#_x0000_t202" style="position:absolute;margin-left:513.5pt;margin-top:783.8pt;width:13.15pt;height:12.25pt;z-index:-7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" filled="f" stroked="f">
              <v:textbox inset="0,0,0,0">
                <w:txbxContent>
                  <w:p w14:paraId="7F804BA7" w14:textId="101627AE" w:rsidR="00612C2E" w:rsidRDefault="008B73E3">
                    <w:pPr>
                      <w:spacing w:before="20"/>
                      <w:ind w:left="40"/>
                      <w:rPr>
                        <w:sz w:val="16"/>
                      </w:rPr>
                    </w:pPr>
                    <w:r>
                      <w:fldChar w:fldCharType="begin"/>
                    </w:r>
                    <w:r>
                      <w:rPr>
                        <w:sz w:val="16"/>
                      </w:rPr>
                      <w:instrText xml:space="preserve"> PAGE </w:instrText>
                    </w:r>
                    <w:r>
                      <w:fldChar w:fldCharType="separate"/>
                    </w:r>
                    <w:r w:rsidR="00DB328C">
                      <w:rPr>
                        <w:noProof/>
                        <w:sz w:val="16"/>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3C77A" w14:textId="77777777" w:rsidR="00402F0D" w:rsidRDefault="00402F0D">
      <w:r>
        <w:separator/>
      </w:r>
    </w:p>
  </w:footnote>
  <w:footnote w:type="continuationSeparator" w:id="0">
    <w:p w14:paraId="0DCAB4DF" w14:textId="77777777" w:rsidR="00402F0D" w:rsidRDefault="00402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2FA76" w14:textId="381CADDF" w:rsidR="00612C2E" w:rsidRDefault="008B73E3">
    <w:pPr>
      <w:pStyle w:val="Tekstpodstawowy"/>
      <w:spacing w:line="14" w:lineRule="auto"/>
    </w:pPr>
    <w:r>
      <w:rPr>
        <w:noProof/>
        <w:lang w:bidi="ar-SA"/>
      </w:rPr>
      <w:drawing>
        <wp:anchor distT="0" distB="0" distL="0" distR="0" simplePos="0" relativeHeight="268427855" behindDoc="1" locked="0" layoutInCell="1" allowOverlap="1" wp14:anchorId="76503471" wp14:editId="7DF8BFC5">
          <wp:simplePos x="0" y="0"/>
          <wp:positionH relativeFrom="page">
            <wp:posOffset>933450</wp:posOffset>
          </wp:positionH>
          <wp:positionV relativeFrom="page">
            <wp:posOffset>438149</wp:posOffset>
          </wp:positionV>
          <wp:extent cx="1381125" cy="342900"/>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81125" cy="342900"/>
                  </a:xfrm>
                  <a:prstGeom prst="rect">
                    <a:avLst/>
                  </a:prstGeom>
                </pic:spPr>
              </pic:pic>
            </a:graphicData>
          </a:graphic>
        </wp:anchor>
      </w:drawing>
    </w:r>
    <w:r w:rsidR="00AA06C3">
      <w:rPr>
        <w:noProof/>
        <w:lang w:bidi="ar-SA"/>
      </w:rPr>
      <mc:AlternateContent>
        <mc:Choice Requires="wps">
          <w:drawing>
            <wp:anchor distT="0" distB="0" distL="114300" distR="114300" simplePos="0" relativeHeight="503308904" behindDoc="1" locked="0" layoutInCell="1" allowOverlap="1" wp14:anchorId="4AE1D7FC" wp14:editId="638D204A">
              <wp:simplePos x="0" y="0"/>
              <wp:positionH relativeFrom="page">
                <wp:posOffset>886460</wp:posOffset>
              </wp:positionH>
              <wp:positionV relativeFrom="page">
                <wp:posOffset>890905</wp:posOffset>
              </wp:positionV>
              <wp:extent cx="2050415" cy="186690"/>
              <wp:effectExtent l="63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041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FEBEB" w14:textId="77777777" w:rsidR="00612C2E" w:rsidRDefault="008B73E3">
                          <w:pPr>
                            <w:spacing w:before="19"/>
                            <w:ind w:left="20"/>
                            <w:rPr>
                              <w:i/>
                              <w:sz w:val="20"/>
                            </w:rPr>
                          </w:pPr>
                          <w:r>
                            <w:rPr>
                              <w:sz w:val="20"/>
                            </w:rPr>
                            <w:t xml:space="preserve">Rada Nadzorcza / </w:t>
                          </w:r>
                          <w:proofErr w:type="spellStart"/>
                          <w:r>
                            <w:rPr>
                              <w:i/>
                              <w:sz w:val="20"/>
                            </w:rPr>
                            <w:t>Supervisory</w:t>
                          </w:r>
                          <w:proofErr w:type="spellEnd"/>
                          <w:r>
                            <w:rPr>
                              <w:i/>
                              <w:sz w:val="20"/>
                            </w:rPr>
                            <w:t xml:space="preserve"> Board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1D7FC" id="_x0000_t202" coordsize="21600,21600" o:spt="202" path="m,l,21600r21600,l21600,xe">
              <v:stroke joinstyle="miter"/>
              <v:path gradientshapeok="t" o:connecttype="rect"/>
            </v:shapetype>
            <v:shape id="_x0000_s1028" type="#_x0000_t202" style="position:absolute;margin-left:69.8pt;margin-top:70.15pt;width:161.45pt;height:14.7pt;z-index:-7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AwxrwIAAKk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" filled="f" stroked="f">
              <v:textbox inset="0,0,0,0">
                <w:txbxContent>
                  <w:p w14:paraId="6C4FEBEB" w14:textId="77777777" w:rsidR="00612C2E" w:rsidRDefault="008B73E3">
                    <w:pPr>
                      <w:spacing w:before="19"/>
                      <w:ind w:left="20"/>
                      <w:rPr>
                        <w:i/>
                        <w:sz w:val="20"/>
                      </w:rPr>
                    </w:pPr>
                    <w:r>
                      <w:rPr>
                        <w:sz w:val="20"/>
                      </w:rPr>
                      <w:t xml:space="preserve">Rada Nadzorcza / </w:t>
                    </w:r>
                    <w:proofErr w:type="spellStart"/>
                    <w:r>
                      <w:rPr>
                        <w:i/>
                        <w:sz w:val="20"/>
                      </w:rPr>
                      <w:t>Supervisory</w:t>
                    </w:r>
                    <w:proofErr w:type="spellEnd"/>
                    <w:r>
                      <w:rPr>
                        <w:i/>
                        <w:sz w:val="20"/>
                      </w:rPr>
                      <w:t xml:space="preserve"> Board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5B30"/>
    <w:multiLevelType w:val="hybridMultilevel"/>
    <w:tmpl w:val="F35A82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AF665C"/>
    <w:multiLevelType w:val="hybridMultilevel"/>
    <w:tmpl w:val="60061A88"/>
    <w:lvl w:ilvl="0" w:tplc="4002F922">
      <w:start w:val="1"/>
      <w:numFmt w:val="upperRoman"/>
      <w:lvlText w:val="%1."/>
      <w:lvlJc w:val="left"/>
      <w:pPr>
        <w:ind w:left="499" w:hanging="248"/>
        <w:jc w:val="right"/>
      </w:pPr>
      <w:rPr>
        <w:rFonts w:hint="default"/>
        <w:b/>
        <w:bCs/>
        <w:i w:val="0"/>
        <w:w w:val="99"/>
        <w:lang w:val="pl-PL" w:eastAsia="pl-PL" w:bidi="pl-PL"/>
      </w:rPr>
    </w:lvl>
    <w:lvl w:ilvl="1" w:tplc="9C864858">
      <w:numFmt w:val="bullet"/>
      <w:lvlText w:val="•"/>
      <w:lvlJc w:val="left"/>
      <w:pPr>
        <w:ind w:left="1390" w:hanging="248"/>
      </w:pPr>
      <w:rPr>
        <w:rFonts w:hint="default"/>
        <w:lang w:val="pl-PL" w:eastAsia="pl-PL" w:bidi="pl-PL"/>
      </w:rPr>
    </w:lvl>
    <w:lvl w:ilvl="2" w:tplc="C0400AFC">
      <w:numFmt w:val="bullet"/>
      <w:lvlText w:val="•"/>
      <w:lvlJc w:val="left"/>
      <w:pPr>
        <w:ind w:left="2281" w:hanging="248"/>
      </w:pPr>
      <w:rPr>
        <w:rFonts w:hint="default"/>
        <w:lang w:val="pl-PL" w:eastAsia="pl-PL" w:bidi="pl-PL"/>
      </w:rPr>
    </w:lvl>
    <w:lvl w:ilvl="3" w:tplc="D2C8D9F0">
      <w:numFmt w:val="bullet"/>
      <w:lvlText w:val="•"/>
      <w:lvlJc w:val="left"/>
      <w:pPr>
        <w:ind w:left="3171" w:hanging="248"/>
      </w:pPr>
      <w:rPr>
        <w:rFonts w:hint="default"/>
        <w:lang w:val="pl-PL" w:eastAsia="pl-PL" w:bidi="pl-PL"/>
      </w:rPr>
    </w:lvl>
    <w:lvl w:ilvl="4" w:tplc="8E8054F8">
      <w:numFmt w:val="bullet"/>
      <w:lvlText w:val="•"/>
      <w:lvlJc w:val="left"/>
      <w:pPr>
        <w:ind w:left="4062" w:hanging="248"/>
      </w:pPr>
      <w:rPr>
        <w:rFonts w:hint="default"/>
        <w:lang w:val="pl-PL" w:eastAsia="pl-PL" w:bidi="pl-PL"/>
      </w:rPr>
    </w:lvl>
    <w:lvl w:ilvl="5" w:tplc="15781902">
      <w:numFmt w:val="bullet"/>
      <w:lvlText w:val="•"/>
      <w:lvlJc w:val="left"/>
      <w:pPr>
        <w:ind w:left="4953" w:hanging="248"/>
      </w:pPr>
      <w:rPr>
        <w:rFonts w:hint="default"/>
        <w:lang w:val="pl-PL" w:eastAsia="pl-PL" w:bidi="pl-PL"/>
      </w:rPr>
    </w:lvl>
    <w:lvl w:ilvl="6" w:tplc="D57A2D88">
      <w:numFmt w:val="bullet"/>
      <w:lvlText w:val="•"/>
      <w:lvlJc w:val="left"/>
      <w:pPr>
        <w:ind w:left="5843" w:hanging="248"/>
      </w:pPr>
      <w:rPr>
        <w:rFonts w:hint="default"/>
        <w:lang w:val="pl-PL" w:eastAsia="pl-PL" w:bidi="pl-PL"/>
      </w:rPr>
    </w:lvl>
    <w:lvl w:ilvl="7" w:tplc="0F52395A">
      <w:numFmt w:val="bullet"/>
      <w:lvlText w:val="•"/>
      <w:lvlJc w:val="left"/>
      <w:pPr>
        <w:ind w:left="6734" w:hanging="248"/>
      </w:pPr>
      <w:rPr>
        <w:rFonts w:hint="default"/>
        <w:lang w:val="pl-PL" w:eastAsia="pl-PL" w:bidi="pl-PL"/>
      </w:rPr>
    </w:lvl>
    <w:lvl w:ilvl="8" w:tplc="A742F982">
      <w:numFmt w:val="bullet"/>
      <w:lvlText w:val="•"/>
      <w:lvlJc w:val="left"/>
      <w:pPr>
        <w:ind w:left="7625" w:hanging="248"/>
      </w:pPr>
      <w:rPr>
        <w:rFonts w:hint="default"/>
        <w:lang w:val="pl-PL" w:eastAsia="pl-PL" w:bidi="pl-PL"/>
      </w:rPr>
    </w:lvl>
  </w:abstractNum>
  <w:abstractNum w:abstractNumId="2" w15:restartNumberingAfterBreak="0">
    <w:nsid w:val="0BC2564F"/>
    <w:multiLevelType w:val="hybridMultilevel"/>
    <w:tmpl w:val="D4BE37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74C39"/>
    <w:multiLevelType w:val="hybridMultilevel"/>
    <w:tmpl w:val="EFF66C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05B1584"/>
    <w:multiLevelType w:val="hybridMultilevel"/>
    <w:tmpl w:val="35322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D22AD2"/>
    <w:multiLevelType w:val="hybridMultilevel"/>
    <w:tmpl w:val="E3109C90"/>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6" w15:restartNumberingAfterBreak="0">
    <w:nsid w:val="29F95D96"/>
    <w:multiLevelType w:val="hybridMultilevel"/>
    <w:tmpl w:val="0046E300"/>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7" w15:restartNumberingAfterBreak="0">
    <w:nsid w:val="2C561D79"/>
    <w:multiLevelType w:val="hybridMultilevel"/>
    <w:tmpl w:val="E1343B3E"/>
    <w:lvl w:ilvl="0" w:tplc="04150001">
      <w:start w:val="1"/>
      <w:numFmt w:val="bullet"/>
      <w:lvlText w:val=""/>
      <w:lvlJc w:val="left"/>
      <w:pPr>
        <w:ind w:left="936" w:hanging="360"/>
      </w:pPr>
      <w:rPr>
        <w:rFonts w:ascii="Symbol" w:hAnsi="Symbol" w:hint="default"/>
      </w:rPr>
    </w:lvl>
    <w:lvl w:ilvl="1" w:tplc="04150003" w:tentative="1">
      <w:start w:val="1"/>
      <w:numFmt w:val="bullet"/>
      <w:lvlText w:val="o"/>
      <w:lvlJc w:val="left"/>
      <w:pPr>
        <w:ind w:left="1656" w:hanging="360"/>
      </w:pPr>
      <w:rPr>
        <w:rFonts w:ascii="Courier New" w:hAnsi="Courier New" w:cs="Courier New" w:hint="default"/>
      </w:rPr>
    </w:lvl>
    <w:lvl w:ilvl="2" w:tplc="04150005" w:tentative="1">
      <w:start w:val="1"/>
      <w:numFmt w:val="bullet"/>
      <w:lvlText w:val=""/>
      <w:lvlJc w:val="left"/>
      <w:pPr>
        <w:ind w:left="2376" w:hanging="360"/>
      </w:pPr>
      <w:rPr>
        <w:rFonts w:ascii="Wingdings" w:hAnsi="Wingdings" w:hint="default"/>
      </w:rPr>
    </w:lvl>
    <w:lvl w:ilvl="3" w:tplc="04150001" w:tentative="1">
      <w:start w:val="1"/>
      <w:numFmt w:val="bullet"/>
      <w:lvlText w:val=""/>
      <w:lvlJc w:val="left"/>
      <w:pPr>
        <w:ind w:left="3096" w:hanging="360"/>
      </w:pPr>
      <w:rPr>
        <w:rFonts w:ascii="Symbol" w:hAnsi="Symbol" w:hint="default"/>
      </w:rPr>
    </w:lvl>
    <w:lvl w:ilvl="4" w:tplc="04150003" w:tentative="1">
      <w:start w:val="1"/>
      <w:numFmt w:val="bullet"/>
      <w:lvlText w:val="o"/>
      <w:lvlJc w:val="left"/>
      <w:pPr>
        <w:ind w:left="3816" w:hanging="360"/>
      </w:pPr>
      <w:rPr>
        <w:rFonts w:ascii="Courier New" w:hAnsi="Courier New" w:cs="Courier New" w:hint="default"/>
      </w:rPr>
    </w:lvl>
    <w:lvl w:ilvl="5" w:tplc="04150005" w:tentative="1">
      <w:start w:val="1"/>
      <w:numFmt w:val="bullet"/>
      <w:lvlText w:val=""/>
      <w:lvlJc w:val="left"/>
      <w:pPr>
        <w:ind w:left="4536" w:hanging="360"/>
      </w:pPr>
      <w:rPr>
        <w:rFonts w:ascii="Wingdings" w:hAnsi="Wingdings" w:hint="default"/>
      </w:rPr>
    </w:lvl>
    <w:lvl w:ilvl="6" w:tplc="04150001" w:tentative="1">
      <w:start w:val="1"/>
      <w:numFmt w:val="bullet"/>
      <w:lvlText w:val=""/>
      <w:lvlJc w:val="left"/>
      <w:pPr>
        <w:ind w:left="5256" w:hanging="360"/>
      </w:pPr>
      <w:rPr>
        <w:rFonts w:ascii="Symbol" w:hAnsi="Symbol" w:hint="default"/>
      </w:rPr>
    </w:lvl>
    <w:lvl w:ilvl="7" w:tplc="04150003" w:tentative="1">
      <w:start w:val="1"/>
      <w:numFmt w:val="bullet"/>
      <w:lvlText w:val="o"/>
      <w:lvlJc w:val="left"/>
      <w:pPr>
        <w:ind w:left="5976" w:hanging="360"/>
      </w:pPr>
      <w:rPr>
        <w:rFonts w:ascii="Courier New" w:hAnsi="Courier New" w:cs="Courier New" w:hint="default"/>
      </w:rPr>
    </w:lvl>
    <w:lvl w:ilvl="8" w:tplc="04150005" w:tentative="1">
      <w:start w:val="1"/>
      <w:numFmt w:val="bullet"/>
      <w:lvlText w:val=""/>
      <w:lvlJc w:val="left"/>
      <w:pPr>
        <w:ind w:left="6696" w:hanging="360"/>
      </w:pPr>
      <w:rPr>
        <w:rFonts w:ascii="Wingdings" w:hAnsi="Wingdings" w:hint="default"/>
      </w:rPr>
    </w:lvl>
  </w:abstractNum>
  <w:abstractNum w:abstractNumId="8" w15:restartNumberingAfterBreak="0">
    <w:nsid w:val="3B695A77"/>
    <w:multiLevelType w:val="hybridMultilevel"/>
    <w:tmpl w:val="A34ACA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F74082"/>
    <w:multiLevelType w:val="hybridMultilevel"/>
    <w:tmpl w:val="100E24C4"/>
    <w:lvl w:ilvl="0" w:tplc="20E44F7E">
      <w:start w:val="1"/>
      <w:numFmt w:val="upperRoman"/>
      <w:lvlText w:val="%1."/>
      <w:lvlJc w:val="left"/>
      <w:pPr>
        <w:ind w:left="972" w:hanging="720"/>
      </w:pPr>
      <w:rPr>
        <w:rFonts w:hint="default"/>
      </w:r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0" w15:restartNumberingAfterBreak="0">
    <w:nsid w:val="4BA53756"/>
    <w:multiLevelType w:val="hybridMultilevel"/>
    <w:tmpl w:val="F0A8E7AA"/>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1" w15:restartNumberingAfterBreak="0">
    <w:nsid w:val="502F5175"/>
    <w:multiLevelType w:val="hybridMultilevel"/>
    <w:tmpl w:val="53E05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BC4A03"/>
    <w:multiLevelType w:val="hybridMultilevel"/>
    <w:tmpl w:val="05F60AE0"/>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3" w15:restartNumberingAfterBreak="0">
    <w:nsid w:val="59375E2E"/>
    <w:multiLevelType w:val="hybridMultilevel"/>
    <w:tmpl w:val="9264B14A"/>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4" w15:restartNumberingAfterBreak="0">
    <w:nsid w:val="62A94502"/>
    <w:multiLevelType w:val="multilevel"/>
    <w:tmpl w:val="727A0B74"/>
    <w:lvl w:ilvl="0">
      <w:start w:val="1"/>
      <w:numFmt w:val="decimal"/>
      <w:lvlText w:val="%1."/>
      <w:lvlJc w:val="left"/>
      <w:pPr>
        <w:ind w:left="720" w:hanging="360"/>
      </w:pPr>
      <w:rPr>
        <w:rFonts w:hint="default"/>
        <w:i w:val="0"/>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624" w:hanging="1800"/>
      </w:pPr>
      <w:rPr>
        <w:rFonts w:hint="default"/>
      </w:rPr>
    </w:lvl>
  </w:abstractNum>
  <w:abstractNum w:abstractNumId="15" w15:restartNumberingAfterBreak="0">
    <w:nsid w:val="6B0316FC"/>
    <w:multiLevelType w:val="hybridMultilevel"/>
    <w:tmpl w:val="DE9ED8D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6B490BB2"/>
    <w:multiLevelType w:val="hybridMultilevel"/>
    <w:tmpl w:val="B75822AE"/>
    <w:lvl w:ilvl="0" w:tplc="0415000F">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17" w15:restartNumberingAfterBreak="0">
    <w:nsid w:val="707B619C"/>
    <w:multiLevelType w:val="hybridMultilevel"/>
    <w:tmpl w:val="CA7C8EFA"/>
    <w:lvl w:ilvl="0" w:tplc="0415000B">
      <w:start w:val="1"/>
      <w:numFmt w:val="bullet"/>
      <w:lvlText w:val=""/>
      <w:lvlJc w:val="left"/>
      <w:pPr>
        <w:ind w:left="1332" w:hanging="360"/>
      </w:pPr>
      <w:rPr>
        <w:rFonts w:ascii="Wingdings" w:hAnsi="Wingdings" w:hint="default"/>
      </w:rPr>
    </w:lvl>
    <w:lvl w:ilvl="1" w:tplc="04150003" w:tentative="1">
      <w:start w:val="1"/>
      <w:numFmt w:val="bullet"/>
      <w:lvlText w:val="o"/>
      <w:lvlJc w:val="left"/>
      <w:pPr>
        <w:ind w:left="2052" w:hanging="360"/>
      </w:pPr>
      <w:rPr>
        <w:rFonts w:ascii="Courier New" w:hAnsi="Courier New" w:cs="Courier New" w:hint="default"/>
      </w:rPr>
    </w:lvl>
    <w:lvl w:ilvl="2" w:tplc="04150005" w:tentative="1">
      <w:start w:val="1"/>
      <w:numFmt w:val="bullet"/>
      <w:lvlText w:val=""/>
      <w:lvlJc w:val="left"/>
      <w:pPr>
        <w:ind w:left="2772" w:hanging="360"/>
      </w:pPr>
      <w:rPr>
        <w:rFonts w:ascii="Wingdings" w:hAnsi="Wingdings" w:hint="default"/>
      </w:rPr>
    </w:lvl>
    <w:lvl w:ilvl="3" w:tplc="04150001" w:tentative="1">
      <w:start w:val="1"/>
      <w:numFmt w:val="bullet"/>
      <w:lvlText w:val=""/>
      <w:lvlJc w:val="left"/>
      <w:pPr>
        <w:ind w:left="3492" w:hanging="360"/>
      </w:pPr>
      <w:rPr>
        <w:rFonts w:ascii="Symbol" w:hAnsi="Symbol" w:hint="default"/>
      </w:rPr>
    </w:lvl>
    <w:lvl w:ilvl="4" w:tplc="04150003" w:tentative="1">
      <w:start w:val="1"/>
      <w:numFmt w:val="bullet"/>
      <w:lvlText w:val="o"/>
      <w:lvlJc w:val="left"/>
      <w:pPr>
        <w:ind w:left="4212" w:hanging="360"/>
      </w:pPr>
      <w:rPr>
        <w:rFonts w:ascii="Courier New" w:hAnsi="Courier New" w:cs="Courier New" w:hint="default"/>
      </w:rPr>
    </w:lvl>
    <w:lvl w:ilvl="5" w:tplc="04150005" w:tentative="1">
      <w:start w:val="1"/>
      <w:numFmt w:val="bullet"/>
      <w:lvlText w:val=""/>
      <w:lvlJc w:val="left"/>
      <w:pPr>
        <w:ind w:left="4932" w:hanging="360"/>
      </w:pPr>
      <w:rPr>
        <w:rFonts w:ascii="Wingdings" w:hAnsi="Wingdings" w:hint="default"/>
      </w:rPr>
    </w:lvl>
    <w:lvl w:ilvl="6" w:tplc="04150001" w:tentative="1">
      <w:start w:val="1"/>
      <w:numFmt w:val="bullet"/>
      <w:lvlText w:val=""/>
      <w:lvlJc w:val="left"/>
      <w:pPr>
        <w:ind w:left="5652" w:hanging="360"/>
      </w:pPr>
      <w:rPr>
        <w:rFonts w:ascii="Symbol" w:hAnsi="Symbol" w:hint="default"/>
      </w:rPr>
    </w:lvl>
    <w:lvl w:ilvl="7" w:tplc="04150003" w:tentative="1">
      <w:start w:val="1"/>
      <w:numFmt w:val="bullet"/>
      <w:lvlText w:val="o"/>
      <w:lvlJc w:val="left"/>
      <w:pPr>
        <w:ind w:left="6372" w:hanging="360"/>
      </w:pPr>
      <w:rPr>
        <w:rFonts w:ascii="Courier New" w:hAnsi="Courier New" w:cs="Courier New" w:hint="default"/>
      </w:rPr>
    </w:lvl>
    <w:lvl w:ilvl="8" w:tplc="04150005" w:tentative="1">
      <w:start w:val="1"/>
      <w:numFmt w:val="bullet"/>
      <w:lvlText w:val=""/>
      <w:lvlJc w:val="left"/>
      <w:pPr>
        <w:ind w:left="7092" w:hanging="360"/>
      </w:pPr>
      <w:rPr>
        <w:rFonts w:ascii="Wingdings" w:hAnsi="Wingdings" w:hint="default"/>
      </w:rPr>
    </w:lvl>
  </w:abstractNum>
  <w:abstractNum w:abstractNumId="18" w15:restartNumberingAfterBreak="0">
    <w:nsid w:val="715D4F44"/>
    <w:multiLevelType w:val="hybridMultilevel"/>
    <w:tmpl w:val="58C87828"/>
    <w:lvl w:ilvl="0" w:tplc="F154E12C">
      <w:start w:val="1"/>
      <w:numFmt w:val="decimal"/>
      <w:lvlText w:val="%1)"/>
      <w:lvlJc w:val="left"/>
      <w:pPr>
        <w:ind w:left="576" w:hanging="360"/>
      </w:pPr>
      <w:rPr>
        <w:rFonts w:ascii="ING Me" w:eastAsia="ING Me" w:hAnsi="ING Me" w:cs="ING Me" w:hint="default"/>
        <w:w w:val="99"/>
        <w:sz w:val="20"/>
        <w:szCs w:val="20"/>
        <w:lang w:val="pl-PL" w:eastAsia="pl-PL" w:bidi="pl-PL"/>
      </w:rPr>
    </w:lvl>
    <w:lvl w:ilvl="1" w:tplc="16342E10">
      <w:numFmt w:val="bullet"/>
      <w:lvlText w:val="-"/>
      <w:lvlJc w:val="left"/>
      <w:pPr>
        <w:ind w:left="936" w:hanging="360"/>
      </w:pPr>
      <w:rPr>
        <w:rFonts w:ascii="Times New Roman" w:eastAsia="Times New Roman" w:hAnsi="Times New Roman" w:cs="Times New Roman" w:hint="default"/>
        <w:w w:val="99"/>
        <w:sz w:val="20"/>
        <w:szCs w:val="20"/>
        <w:lang w:val="pl-PL" w:eastAsia="pl-PL" w:bidi="pl-PL"/>
      </w:rPr>
    </w:lvl>
    <w:lvl w:ilvl="2" w:tplc="8BE2C7E6">
      <w:numFmt w:val="bullet"/>
      <w:lvlText w:val="•"/>
      <w:lvlJc w:val="left"/>
      <w:pPr>
        <w:ind w:left="1880" w:hanging="360"/>
      </w:pPr>
      <w:rPr>
        <w:rFonts w:hint="default"/>
        <w:lang w:val="pl-PL" w:eastAsia="pl-PL" w:bidi="pl-PL"/>
      </w:rPr>
    </w:lvl>
    <w:lvl w:ilvl="3" w:tplc="788C20FC">
      <w:numFmt w:val="bullet"/>
      <w:lvlText w:val="•"/>
      <w:lvlJc w:val="left"/>
      <w:pPr>
        <w:ind w:left="2821" w:hanging="360"/>
      </w:pPr>
      <w:rPr>
        <w:rFonts w:hint="default"/>
        <w:lang w:val="pl-PL" w:eastAsia="pl-PL" w:bidi="pl-PL"/>
      </w:rPr>
    </w:lvl>
    <w:lvl w:ilvl="4" w:tplc="E3A0002C">
      <w:numFmt w:val="bullet"/>
      <w:lvlText w:val="•"/>
      <w:lvlJc w:val="left"/>
      <w:pPr>
        <w:ind w:left="3762" w:hanging="360"/>
      </w:pPr>
      <w:rPr>
        <w:rFonts w:hint="default"/>
        <w:lang w:val="pl-PL" w:eastAsia="pl-PL" w:bidi="pl-PL"/>
      </w:rPr>
    </w:lvl>
    <w:lvl w:ilvl="5" w:tplc="0A7C972A">
      <w:numFmt w:val="bullet"/>
      <w:lvlText w:val="•"/>
      <w:lvlJc w:val="left"/>
      <w:pPr>
        <w:ind w:left="4702" w:hanging="360"/>
      </w:pPr>
      <w:rPr>
        <w:rFonts w:hint="default"/>
        <w:lang w:val="pl-PL" w:eastAsia="pl-PL" w:bidi="pl-PL"/>
      </w:rPr>
    </w:lvl>
    <w:lvl w:ilvl="6" w:tplc="BC1619A8">
      <w:numFmt w:val="bullet"/>
      <w:lvlText w:val="•"/>
      <w:lvlJc w:val="left"/>
      <w:pPr>
        <w:ind w:left="5643" w:hanging="360"/>
      </w:pPr>
      <w:rPr>
        <w:rFonts w:hint="default"/>
        <w:lang w:val="pl-PL" w:eastAsia="pl-PL" w:bidi="pl-PL"/>
      </w:rPr>
    </w:lvl>
    <w:lvl w:ilvl="7" w:tplc="8C287718">
      <w:numFmt w:val="bullet"/>
      <w:lvlText w:val="•"/>
      <w:lvlJc w:val="left"/>
      <w:pPr>
        <w:ind w:left="6584" w:hanging="360"/>
      </w:pPr>
      <w:rPr>
        <w:rFonts w:hint="default"/>
        <w:lang w:val="pl-PL" w:eastAsia="pl-PL" w:bidi="pl-PL"/>
      </w:rPr>
    </w:lvl>
    <w:lvl w:ilvl="8" w:tplc="66681B34">
      <w:numFmt w:val="bullet"/>
      <w:lvlText w:val="•"/>
      <w:lvlJc w:val="left"/>
      <w:pPr>
        <w:ind w:left="7524" w:hanging="360"/>
      </w:pPr>
      <w:rPr>
        <w:rFonts w:hint="default"/>
        <w:lang w:val="pl-PL" w:eastAsia="pl-PL" w:bidi="pl-PL"/>
      </w:rPr>
    </w:lvl>
  </w:abstractNum>
  <w:abstractNum w:abstractNumId="19" w15:restartNumberingAfterBreak="0">
    <w:nsid w:val="77A00C38"/>
    <w:multiLevelType w:val="hybridMultilevel"/>
    <w:tmpl w:val="D390DD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883041A"/>
    <w:multiLevelType w:val="hybridMultilevel"/>
    <w:tmpl w:val="2EE2FFBA"/>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21" w15:restartNumberingAfterBreak="0">
    <w:nsid w:val="7D1E3530"/>
    <w:multiLevelType w:val="hybridMultilevel"/>
    <w:tmpl w:val="66DEB9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8"/>
  </w:num>
  <w:num w:numId="2">
    <w:abstractNumId w:val="1"/>
  </w:num>
  <w:num w:numId="3">
    <w:abstractNumId w:val="7"/>
  </w:num>
  <w:num w:numId="4">
    <w:abstractNumId w:val="9"/>
  </w:num>
  <w:num w:numId="5">
    <w:abstractNumId w:val="10"/>
  </w:num>
  <w:num w:numId="6">
    <w:abstractNumId w:val="5"/>
  </w:num>
  <w:num w:numId="7">
    <w:abstractNumId w:val="6"/>
  </w:num>
  <w:num w:numId="8">
    <w:abstractNumId w:val="3"/>
  </w:num>
  <w:num w:numId="9">
    <w:abstractNumId w:val="16"/>
  </w:num>
  <w:num w:numId="10">
    <w:abstractNumId w:val="0"/>
  </w:num>
  <w:num w:numId="11">
    <w:abstractNumId w:val="13"/>
  </w:num>
  <w:num w:numId="12">
    <w:abstractNumId w:val="20"/>
  </w:num>
  <w:num w:numId="13">
    <w:abstractNumId w:val="12"/>
  </w:num>
  <w:num w:numId="14">
    <w:abstractNumId w:val="21"/>
  </w:num>
  <w:num w:numId="15">
    <w:abstractNumId w:val="8"/>
  </w:num>
  <w:num w:numId="16">
    <w:abstractNumId w:val="4"/>
  </w:num>
  <w:num w:numId="17">
    <w:abstractNumId w:val="15"/>
  </w:num>
  <w:num w:numId="18">
    <w:abstractNumId w:val="14"/>
  </w:num>
  <w:num w:numId="19">
    <w:abstractNumId w:val="2"/>
  </w:num>
  <w:num w:numId="20">
    <w:abstractNumId w:val="11"/>
  </w:num>
  <w:num w:numId="21">
    <w:abstractNumId w:val="1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2E"/>
    <w:rsid w:val="000366B1"/>
    <w:rsid w:val="00066AE9"/>
    <w:rsid w:val="00083F98"/>
    <w:rsid w:val="000866E9"/>
    <w:rsid w:val="00087A2C"/>
    <w:rsid w:val="00093BA0"/>
    <w:rsid w:val="000B5F3C"/>
    <w:rsid w:val="00110AA6"/>
    <w:rsid w:val="00113886"/>
    <w:rsid w:val="0011444E"/>
    <w:rsid w:val="0012070A"/>
    <w:rsid w:val="001378F9"/>
    <w:rsid w:val="001609EE"/>
    <w:rsid w:val="00197AE3"/>
    <w:rsid w:val="001B3ECC"/>
    <w:rsid w:val="001D0668"/>
    <w:rsid w:val="00212F7E"/>
    <w:rsid w:val="00252FD6"/>
    <w:rsid w:val="00265ACC"/>
    <w:rsid w:val="002D2A85"/>
    <w:rsid w:val="00320B65"/>
    <w:rsid w:val="00324EFB"/>
    <w:rsid w:val="00365039"/>
    <w:rsid w:val="00395B1F"/>
    <w:rsid w:val="003D3EFA"/>
    <w:rsid w:val="00402F0D"/>
    <w:rsid w:val="0041464B"/>
    <w:rsid w:val="00474C6F"/>
    <w:rsid w:val="004B7251"/>
    <w:rsid w:val="004F5856"/>
    <w:rsid w:val="00554B95"/>
    <w:rsid w:val="00560432"/>
    <w:rsid w:val="00560E63"/>
    <w:rsid w:val="00571234"/>
    <w:rsid w:val="00574806"/>
    <w:rsid w:val="005A2E93"/>
    <w:rsid w:val="005B4D0A"/>
    <w:rsid w:val="00607B24"/>
    <w:rsid w:val="00612C2E"/>
    <w:rsid w:val="006944CA"/>
    <w:rsid w:val="0071717D"/>
    <w:rsid w:val="00784A8C"/>
    <w:rsid w:val="00793E4D"/>
    <w:rsid w:val="007E602E"/>
    <w:rsid w:val="007F2F1E"/>
    <w:rsid w:val="008226B0"/>
    <w:rsid w:val="00842A2D"/>
    <w:rsid w:val="008437CD"/>
    <w:rsid w:val="00844D17"/>
    <w:rsid w:val="008579C1"/>
    <w:rsid w:val="008B73E3"/>
    <w:rsid w:val="008C1D92"/>
    <w:rsid w:val="008E7027"/>
    <w:rsid w:val="00904A51"/>
    <w:rsid w:val="00934C94"/>
    <w:rsid w:val="009B1013"/>
    <w:rsid w:val="009C6474"/>
    <w:rsid w:val="009C7651"/>
    <w:rsid w:val="009D042D"/>
    <w:rsid w:val="009F2449"/>
    <w:rsid w:val="00A6243B"/>
    <w:rsid w:val="00AA06C3"/>
    <w:rsid w:val="00B126EF"/>
    <w:rsid w:val="00B2062A"/>
    <w:rsid w:val="00B72EA9"/>
    <w:rsid w:val="00BA725A"/>
    <w:rsid w:val="00BC272C"/>
    <w:rsid w:val="00BE41FC"/>
    <w:rsid w:val="00C67F06"/>
    <w:rsid w:val="00C83F80"/>
    <w:rsid w:val="00CA650F"/>
    <w:rsid w:val="00CE3D80"/>
    <w:rsid w:val="00CF562D"/>
    <w:rsid w:val="00D07B7A"/>
    <w:rsid w:val="00D12B2C"/>
    <w:rsid w:val="00D478A4"/>
    <w:rsid w:val="00DB328C"/>
    <w:rsid w:val="00DB3316"/>
    <w:rsid w:val="00E618EE"/>
    <w:rsid w:val="00E826C7"/>
    <w:rsid w:val="00EE06AC"/>
    <w:rsid w:val="00EE37EB"/>
    <w:rsid w:val="00EE53D4"/>
    <w:rsid w:val="00EE5F1E"/>
    <w:rsid w:val="00F47D43"/>
    <w:rsid w:val="00FE7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C24BEEE"/>
  <w15:docId w15:val="{BE975C1C-5B42-49FE-B0C8-8D5E9ABE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ING Me" w:eastAsia="ING Me" w:hAnsi="ING Me" w:cs="ING Me"/>
      <w:lang w:val="pl-PL" w:eastAsia="pl-PL" w:bidi="pl-PL"/>
    </w:rPr>
  </w:style>
  <w:style w:type="paragraph" w:styleId="Nagwek1">
    <w:name w:val="heading 1"/>
    <w:basedOn w:val="Normalny"/>
    <w:uiPriority w:val="1"/>
    <w:qFormat/>
    <w:pPr>
      <w:ind w:left="216"/>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pPr>
      <w:ind w:left="936" w:hanging="360"/>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842A2D"/>
    <w:rPr>
      <w:sz w:val="16"/>
      <w:szCs w:val="16"/>
    </w:rPr>
  </w:style>
  <w:style w:type="paragraph" w:styleId="Tekstkomentarza">
    <w:name w:val="annotation text"/>
    <w:basedOn w:val="Normalny"/>
    <w:link w:val="TekstkomentarzaZnak"/>
    <w:uiPriority w:val="99"/>
    <w:semiHidden/>
    <w:unhideWhenUsed/>
    <w:rsid w:val="00842A2D"/>
    <w:rPr>
      <w:sz w:val="20"/>
      <w:szCs w:val="20"/>
    </w:rPr>
  </w:style>
  <w:style w:type="character" w:customStyle="1" w:styleId="TekstkomentarzaZnak">
    <w:name w:val="Tekst komentarza Znak"/>
    <w:basedOn w:val="Domylnaczcionkaakapitu"/>
    <w:link w:val="Tekstkomentarza"/>
    <w:uiPriority w:val="99"/>
    <w:semiHidden/>
    <w:rsid w:val="00842A2D"/>
    <w:rPr>
      <w:rFonts w:ascii="ING Me" w:eastAsia="ING Me" w:hAnsi="ING Me" w:cs="ING Me"/>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842A2D"/>
    <w:rPr>
      <w:b/>
      <w:bCs/>
    </w:rPr>
  </w:style>
  <w:style w:type="character" w:customStyle="1" w:styleId="TematkomentarzaZnak">
    <w:name w:val="Temat komentarza Znak"/>
    <w:basedOn w:val="TekstkomentarzaZnak"/>
    <w:link w:val="Tematkomentarza"/>
    <w:uiPriority w:val="99"/>
    <w:semiHidden/>
    <w:rsid w:val="00842A2D"/>
    <w:rPr>
      <w:rFonts w:ascii="ING Me" w:eastAsia="ING Me" w:hAnsi="ING Me" w:cs="ING Me"/>
      <w:b/>
      <w:bCs/>
      <w:sz w:val="20"/>
      <w:szCs w:val="20"/>
      <w:lang w:val="pl-PL" w:eastAsia="pl-PL" w:bidi="pl-PL"/>
    </w:rPr>
  </w:style>
  <w:style w:type="paragraph" w:styleId="Tekstdymka">
    <w:name w:val="Balloon Text"/>
    <w:basedOn w:val="Normalny"/>
    <w:link w:val="TekstdymkaZnak"/>
    <w:uiPriority w:val="99"/>
    <w:semiHidden/>
    <w:unhideWhenUsed/>
    <w:rsid w:val="00842A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2A2D"/>
    <w:rPr>
      <w:rFonts w:ascii="Segoe UI" w:eastAsia="ING Me" w:hAnsi="Segoe UI" w:cs="Segoe UI"/>
      <w:sz w:val="18"/>
      <w:szCs w:val="18"/>
      <w:lang w:val="pl-PL" w:eastAsia="pl-PL" w:bidi="pl-PL"/>
    </w:rPr>
  </w:style>
  <w:style w:type="character" w:styleId="Hipercze">
    <w:name w:val="Hyperlink"/>
    <w:basedOn w:val="Domylnaczcionkaakapitu"/>
    <w:uiPriority w:val="99"/>
    <w:unhideWhenUsed/>
    <w:rsid w:val="009F2449"/>
    <w:rPr>
      <w:color w:val="0000FF" w:themeColor="hyperlink"/>
      <w:u w:val="single"/>
    </w:rPr>
  </w:style>
  <w:style w:type="paragraph" w:customStyle="1" w:styleId="AODocTxtL3">
    <w:name w:val="AODocTxtL3"/>
    <w:basedOn w:val="Normalny"/>
    <w:rsid w:val="00E826C7"/>
    <w:pPr>
      <w:widowControl/>
      <w:autoSpaceDE/>
      <w:autoSpaceDN/>
      <w:spacing w:before="240" w:line="260" w:lineRule="atLeast"/>
      <w:jc w:val="both"/>
    </w:pPr>
    <w:rPr>
      <w:rFonts w:ascii="Times New Roman" w:eastAsia="SimSun" w:hAnsi="Times New Roman" w:cs="Times New Roman"/>
      <w:lang w:val="en-GB" w:eastAsia="en-US" w:bidi="ar-SA"/>
    </w:rPr>
  </w:style>
  <w:style w:type="paragraph" w:styleId="Nagwek">
    <w:name w:val="header"/>
    <w:basedOn w:val="Normalny"/>
    <w:link w:val="NagwekZnak"/>
    <w:uiPriority w:val="99"/>
    <w:unhideWhenUsed/>
    <w:rsid w:val="00BE41FC"/>
    <w:pPr>
      <w:tabs>
        <w:tab w:val="center" w:pos="4536"/>
        <w:tab w:val="right" w:pos="9072"/>
      </w:tabs>
    </w:pPr>
  </w:style>
  <w:style w:type="character" w:customStyle="1" w:styleId="NagwekZnak">
    <w:name w:val="Nagłówek Znak"/>
    <w:basedOn w:val="Domylnaczcionkaakapitu"/>
    <w:link w:val="Nagwek"/>
    <w:uiPriority w:val="99"/>
    <w:rsid w:val="00BE41FC"/>
    <w:rPr>
      <w:rFonts w:ascii="ING Me" w:eastAsia="ING Me" w:hAnsi="ING Me" w:cs="ING Me"/>
      <w:lang w:val="pl-PL" w:eastAsia="pl-PL" w:bidi="pl-PL"/>
    </w:rPr>
  </w:style>
  <w:style w:type="paragraph" w:styleId="Stopka">
    <w:name w:val="footer"/>
    <w:basedOn w:val="Normalny"/>
    <w:link w:val="StopkaZnak"/>
    <w:uiPriority w:val="99"/>
    <w:unhideWhenUsed/>
    <w:rsid w:val="00BE41FC"/>
    <w:pPr>
      <w:tabs>
        <w:tab w:val="center" w:pos="4536"/>
        <w:tab w:val="right" w:pos="9072"/>
      </w:tabs>
    </w:pPr>
  </w:style>
  <w:style w:type="character" w:customStyle="1" w:styleId="StopkaZnak">
    <w:name w:val="Stopka Znak"/>
    <w:basedOn w:val="Domylnaczcionkaakapitu"/>
    <w:link w:val="Stopka"/>
    <w:uiPriority w:val="99"/>
    <w:rsid w:val="00BE41FC"/>
    <w:rPr>
      <w:rFonts w:ascii="ING Me" w:eastAsia="ING Me" w:hAnsi="ING Me" w:cs="ING M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6E556-1DA1-4F2C-9932-0ED968935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1637</Words>
  <Characters>9822</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ING Bank Śląski S.A.</Company>
  <LinksUpToDate>false</LinksUpToDate>
  <CharactersWithSpaces>11437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Kolenda, D. (Daria)</dc:creator>
  <cp:lastModifiedBy>Kolenda, D. (Daria)</cp:lastModifiedBy>
  <cp:revision>6</cp:revision>
  <dcterms:created xsi:type="dcterms:W3CDTF">2021-02-23T07:42:00Z</dcterms:created>
  <dcterms:modified xsi:type="dcterms:W3CDTF">2021-02-24T07:41:00Z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LastSaved">
    <vt:filetime>2019-03-11T00:00:00Z</vt:filetime>
  </property>
</Properties>
</file>