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9E934" w14:textId="77777777" w:rsidR="00612C2E" w:rsidRDefault="00612C2E" w:rsidP="00B72EA9">
      <w:pPr>
        <w:pStyle w:val="Tekstpodstawowy"/>
        <w:jc w:val="both"/>
        <w:rPr>
          <w:rFonts w:ascii="Times New Roman"/>
        </w:rPr>
      </w:pPr>
    </w:p>
    <w:p w14:paraId="4AF456B1" w14:textId="77777777" w:rsidR="00612C2E" w:rsidRDefault="00612C2E" w:rsidP="00B72EA9">
      <w:pPr>
        <w:pStyle w:val="Tekstpodstawowy"/>
        <w:spacing w:before="7"/>
        <w:jc w:val="both"/>
        <w:rPr>
          <w:rFonts w:ascii="Times New Roman"/>
          <w:sz w:val="19"/>
        </w:rPr>
      </w:pPr>
    </w:p>
    <w:p w14:paraId="6A3FF754" w14:textId="77777777" w:rsidR="00612C2E" w:rsidRDefault="00612C2E" w:rsidP="00B72EA9">
      <w:pPr>
        <w:pStyle w:val="Tekstpodstawowy"/>
        <w:jc w:val="both"/>
        <w:rPr>
          <w:sz w:val="26"/>
        </w:rPr>
      </w:pPr>
    </w:p>
    <w:p w14:paraId="3C5B33A7" w14:textId="77777777" w:rsidR="00CE3D80" w:rsidRDefault="00CE3D80" w:rsidP="00B72EA9">
      <w:pPr>
        <w:pStyle w:val="Tekstpodstawowy"/>
        <w:jc w:val="both"/>
        <w:rPr>
          <w:sz w:val="26"/>
        </w:rPr>
      </w:pPr>
    </w:p>
    <w:p w14:paraId="473371AE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18187EC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384293E7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A50825E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3FE40223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00C308B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9F887E4" w14:textId="77777777" w:rsidR="0010262B" w:rsidRDefault="0010262B" w:rsidP="0010262B">
      <w:pPr>
        <w:pStyle w:val="Tekstpodstawowy"/>
        <w:spacing w:before="2"/>
        <w:jc w:val="center"/>
        <w:rPr>
          <w:b/>
          <w:bCs/>
          <w:sz w:val="28"/>
          <w:szCs w:val="28"/>
        </w:rPr>
      </w:pPr>
    </w:p>
    <w:p w14:paraId="20A3A792" w14:textId="77777777" w:rsidR="0010262B" w:rsidRDefault="0010262B" w:rsidP="0010262B">
      <w:pPr>
        <w:pStyle w:val="Tekstpodstawowy"/>
        <w:spacing w:before="2"/>
        <w:jc w:val="center"/>
        <w:rPr>
          <w:b/>
          <w:bCs/>
          <w:sz w:val="28"/>
          <w:szCs w:val="28"/>
        </w:rPr>
      </w:pPr>
    </w:p>
    <w:p w14:paraId="1B414444" w14:textId="77777777" w:rsidR="0010262B" w:rsidRDefault="0010262B" w:rsidP="0010262B">
      <w:pPr>
        <w:pStyle w:val="Tekstpodstawowy"/>
        <w:spacing w:before="2"/>
        <w:jc w:val="center"/>
        <w:rPr>
          <w:b/>
          <w:bCs/>
          <w:sz w:val="28"/>
          <w:szCs w:val="28"/>
        </w:rPr>
      </w:pPr>
    </w:p>
    <w:p w14:paraId="02341F4E" w14:textId="77777777" w:rsidR="0010262B" w:rsidRDefault="0010262B" w:rsidP="0010262B">
      <w:pPr>
        <w:pStyle w:val="Tekstpodstawowy"/>
        <w:spacing w:before="2"/>
        <w:jc w:val="center"/>
        <w:rPr>
          <w:b/>
          <w:bCs/>
          <w:sz w:val="28"/>
          <w:szCs w:val="28"/>
        </w:rPr>
      </w:pPr>
    </w:p>
    <w:p w14:paraId="55758034" w14:textId="458C7828" w:rsidR="0010262B" w:rsidRPr="0010262B" w:rsidRDefault="0010262B" w:rsidP="0010262B">
      <w:pPr>
        <w:pStyle w:val="Tekstpodstawowy"/>
        <w:spacing w:before="2"/>
        <w:jc w:val="center"/>
        <w:rPr>
          <w:b/>
          <w:bCs/>
          <w:color w:val="FF6200"/>
          <w:sz w:val="32"/>
          <w:szCs w:val="32"/>
        </w:rPr>
      </w:pPr>
      <w:r w:rsidRPr="0010262B">
        <w:rPr>
          <w:b/>
          <w:bCs/>
          <w:color w:val="FF6200"/>
          <w:sz w:val="32"/>
          <w:szCs w:val="32"/>
        </w:rPr>
        <w:t>Ocena działalności ING Banku</w:t>
      </w:r>
    </w:p>
    <w:p w14:paraId="17C43AE0" w14:textId="1523A395" w:rsidR="0010262B" w:rsidRPr="0010262B" w:rsidRDefault="00B46582" w:rsidP="0010262B">
      <w:pPr>
        <w:pStyle w:val="Tekstpodstawowy"/>
        <w:spacing w:before="2"/>
        <w:jc w:val="center"/>
        <w:rPr>
          <w:b/>
          <w:bCs/>
          <w:color w:val="FF6200"/>
          <w:sz w:val="32"/>
          <w:szCs w:val="32"/>
        </w:rPr>
      </w:pPr>
      <w:r>
        <w:rPr>
          <w:b/>
          <w:bCs/>
          <w:color w:val="FF6200"/>
          <w:sz w:val="32"/>
          <w:szCs w:val="32"/>
        </w:rPr>
        <w:t>Hipotecznego S.A. w 2020</w:t>
      </w:r>
      <w:r w:rsidR="0010262B" w:rsidRPr="0010262B">
        <w:rPr>
          <w:b/>
          <w:bCs/>
          <w:color w:val="FF6200"/>
          <w:sz w:val="32"/>
          <w:szCs w:val="32"/>
        </w:rPr>
        <w:t xml:space="preserve"> roku sporządzona przez Radę</w:t>
      </w:r>
    </w:p>
    <w:p w14:paraId="31C0BBF5" w14:textId="196922DA" w:rsidR="0010262B" w:rsidRPr="0010262B" w:rsidRDefault="0010262B" w:rsidP="0010262B">
      <w:pPr>
        <w:pStyle w:val="Tekstpodstawowy"/>
        <w:spacing w:before="2"/>
        <w:jc w:val="center"/>
        <w:rPr>
          <w:b/>
          <w:bCs/>
          <w:color w:val="FF6200"/>
          <w:sz w:val="32"/>
          <w:szCs w:val="32"/>
        </w:rPr>
      </w:pPr>
      <w:r w:rsidRPr="0010262B">
        <w:rPr>
          <w:b/>
          <w:bCs/>
          <w:color w:val="FF6200"/>
          <w:sz w:val="32"/>
          <w:szCs w:val="32"/>
        </w:rPr>
        <w:t>Nadzorczą</w:t>
      </w:r>
      <w:r>
        <w:rPr>
          <w:b/>
          <w:bCs/>
          <w:color w:val="FF6200"/>
          <w:sz w:val="32"/>
          <w:szCs w:val="32"/>
        </w:rPr>
        <w:t xml:space="preserve"> </w:t>
      </w:r>
      <w:r w:rsidRPr="0010262B">
        <w:rPr>
          <w:b/>
          <w:bCs/>
          <w:color w:val="FF6200"/>
          <w:sz w:val="32"/>
          <w:szCs w:val="32"/>
        </w:rPr>
        <w:t xml:space="preserve">z uwzględnieniem oceny systemów kontroli wewnętrznej, zarządzania ryzykiem, </w:t>
      </w:r>
      <w:proofErr w:type="spellStart"/>
      <w:r w:rsidRPr="0010262B">
        <w:rPr>
          <w:b/>
          <w:bCs/>
          <w:color w:val="FF6200"/>
          <w:sz w:val="32"/>
          <w:szCs w:val="32"/>
        </w:rPr>
        <w:t>compliance</w:t>
      </w:r>
      <w:proofErr w:type="spellEnd"/>
      <w:r w:rsidRPr="0010262B">
        <w:rPr>
          <w:b/>
          <w:bCs/>
          <w:color w:val="FF6200"/>
          <w:sz w:val="32"/>
          <w:szCs w:val="32"/>
        </w:rPr>
        <w:t xml:space="preserve"> oraz funkcji audytu wewnętrzneg</w:t>
      </w:r>
      <w:r>
        <w:rPr>
          <w:b/>
          <w:bCs/>
          <w:color w:val="FF6200"/>
          <w:sz w:val="32"/>
          <w:szCs w:val="32"/>
        </w:rPr>
        <w:t>o</w:t>
      </w:r>
    </w:p>
    <w:p w14:paraId="10B2546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BC76A94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1C0ED9B3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E326347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82DC2A2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827907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0A1F3BB6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2ACBEA6D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6360ABD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42489B3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5E8416F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69A8BE39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4F32922E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66DD7E84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3CA0EFE4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6105F399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0DEBAA6B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6DE002A4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4C3A38B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030102C1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205EB908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1A47F74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E4AEDC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23E9812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209CED2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4623988A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4359B9D2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91B08BC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74992262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6E476180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98F8CF1" w14:textId="77777777" w:rsidR="0010262B" w:rsidRDefault="0010262B" w:rsidP="00B72EA9">
      <w:pPr>
        <w:pStyle w:val="Tekstpodstawowy"/>
        <w:spacing w:before="2"/>
        <w:jc w:val="center"/>
        <w:rPr>
          <w:b/>
          <w:bCs/>
          <w:u w:val="single"/>
        </w:rPr>
      </w:pPr>
    </w:p>
    <w:p w14:paraId="58454623" w14:textId="77777777" w:rsidR="0010262B" w:rsidRPr="0010262B" w:rsidRDefault="0010262B" w:rsidP="0010262B">
      <w:pPr>
        <w:pStyle w:val="Tekstpodstawowy"/>
        <w:spacing w:before="2"/>
        <w:jc w:val="both"/>
        <w:rPr>
          <w:bCs/>
        </w:rPr>
      </w:pPr>
    </w:p>
    <w:p w14:paraId="06D2DDFF" w14:textId="7C3D6AF5" w:rsidR="0010262B" w:rsidRP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  <w:r w:rsidRPr="0010262B">
        <w:rPr>
          <w:bCs/>
        </w:rPr>
        <w:t>ING Bank Hipoteczny S.A. (dalej Bank) powstał 26 lutego 2018 r</w:t>
      </w:r>
      <w:r w:rsidR="00876AC7">
        <w:rPr>
          <w:bCs/>
        </w:rPr>
        <w:t>oku</w:t>
      </w:r>
      <w:r w:rsidRPr="0010262B">
        <w:rPr>
          <w:bCs/>
        </w:rPr>
        <w:t xml:space="preserve"> po uzyskaniu decyzji Komisji Nadzoru Finansowego z dnia 16 stycznia 2018 roku zezwalającej na utworzenie Banku. </w:t>
      </w:r>
    </w:p>
    <w:p w14:paraId="6E339229" w14:textId="77777777" w:rsid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</w:p>
    <w:p w14:paraId="629B2B78" w14:textId="4EE12AA3" w:rsidR="0010262B" w:rsidRP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  <w:r w:rsidRPr="0010262B">
        <w:rPr>
          <w:bCs/>
        </w:rPr>
        <w:t>ING Bank Hipoteczny S.A. jest spółką zależną ING Banku Śląskiego S.A.,</w:t>
      </w:r>
      <w:r w:rsidR="009E414F">
        <w:rPr>
          <w:bCs/>
        </w:rPr>
        <w:t xml:space="preserve"> który według stanu na dzień 31 </w:t>
      </w:r>
      <w:r w:rsidR="00B46582">
        <w:rPr>
          <w:bCs/>
        </w:rPr>
        <w:t>grudnia 2020</w:t>
      </w:r>
      <w:r w:rsidRPr="0010262B">
        <w:rPr>
          <w:bCs/>
        </w:rPr>
        <w:t xml:space="preserve"> roku posiadał 100% udziału w kapitale zakładowym </w:t>
      </w:r>
      <w:r w:rsidR="009E414F">
        <w:rPr>
          <w:bCs/>
        </w:rPr>
        <w:t>ING Banku Hipotecznego S.A. ING </w:t>
      </w:r>
      <w:r w:rsidRPr="0010262B">
        <w:rPr>
          <w:bCs/>
        </w:rPr>
        <w:t>Bank Hipoteczny S.A. wchodzi w skład Grupy Kapitałowej, określanej na potrzeby niniejszego sprawozdania jako Grupa Kapitałowa ING Banku Śląskiego S.A. (Grupa).</w:t>
      </w:r>
    </w:p>
    <w:p w14:paraId="3A23357E" w14:textId="77777777" w:rsid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</w:p>
    <w:p w14:paraId="75DF7E65" w14:textId="6B44D001" w:rsidR="0010262B" w:rsidRP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  <w:r w:rsidRPr="0010262B">
        <w:rPr>
          <w:bCs/>
        </w:rPr>
        <w:t>Wedłu</w:t>
      </w:r>
      <w:r w:rsidR="00B46582">
        <w:rPr>
          <w:bCs/>
        </w:rPr>
        <w:t>g stanu na dzień 31 grudnia 2020</w:t>
      </w:r>
      <w:r w:rsidRPr="0010262B">
        <w:rPr>
          <w:bCs/>
        </w:rPr>
        <w:t xml:space="preserve"> roku, kapitał zakładowy ING Ba</w:t>
      </w:r>
      <w:r w:rsidR="00B46582">
        <w:rPr>
          <w:bCs/>
        </w:rPr>
        <w:t>nku Hipotecznego S.A. wynosił 38</w:t>
      </w:r>
      <w:r w:rsidRPr="0010262B">
        <w:rPr>
          <w:bCs/>
        </w:rPr>
        <w:t>0.000.000 PLN i został w całości objęty przez ING Bank Śląski S.A. Akcje ING Banku Hipotecznego S.A. zostały pokryte wkładem pieniężnym.</w:t>
      </w:r>
    </w:p>
    <w:p w14:paraId="7D6C9F7E" w14:textId="77777777" w:rsid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</w:p>
    <w:p w14:paraId="4B58CCA8" w14:textId="15994268" w:rsidR="0010262B" w:rsidRDefault="0010262B" w:rsidP="0070161C">
      <w:pPr>
        <w:pStyle w:val="Tekstpodstawowy"/>
        <w:spacing w:before="2" w:after="2" w:line="288" w:lineRule="auto"/>
        <w:jc w:val="both"/>
        <w:rPr>
          <w:bCs/>
        </w:rPr>
      </w:pPr>
      <w:r w:rsidRPr="0010262B">
        <w:rPr>
          <w:bCs/>
        </w:rPr>
        <w:t xml:space="preserve">Bank działa w oparciu o strategiczną współpracę z ING Bankiem Śląskim </w:t>
      </w:r>
      <w:r w:rsidR="003F0DA1">
        <w:rPr>
          <w:bCs/>
        </w:rPr>
        <w:t>S.A. nabywając wierzytelności z </w:t>
      </w:r>
      <w:r w:rsidRPr="0010262B">
        <w:rPr>
          <w:bCs/>
        </w:rPr>
        <w:t>tytułu umów o kredyty zabezpieczone hipoteką. Strategicznym celem Banku jest dostarczenie Grupie długoterminowego, stabilnego finansowania w drodze emisji hipotecznych listów zastawnych.</w:t>
      </w:r>
    </w:p>
    <w:p w14:paraId="16EB3DC7" w14:textId="6B0C83F2" w:rsidR="0010262B" w:rsidRDefault="0010262B" w:rsidP="0070161C">
      <w:pPr>
        <w:pStyle w:val="Tekstpodstawowy"/>
        <w:spacing w:before="2" w:line="288" w:lineRule="auto"/>
        <w:jc w:val="both"/>
        <w:rPr>
          <w:bCs/>
        </w:rPr>
      </w:pPr>
    </w:p>
    <w:p w14:paraId="5A2EDC3D" w14:textId="5A4F7540" w:rsidR="0010262B" w:rsidRDefault="0010262B" w:rsidP="0070161C">
      <w:pPr>
        <w:pStyle w:val="Tekstpodstawowy"/>
        <w:spacing w:before="2" w:line="288" w:lineRule="auto"/>
        <w:jc w:val="both"/>
        <w:rPr>
          <w:b/>
          <w:bCs/>
        </w:rPr>
      </w:pPr>
      <w:r w:rsidRPr="0010262B">
        <w:rPr>
          <w:b/>
          <w:bCs/>
        </w:rPr>
        <w:t xml:space="preserve">Otoczenie biznesowe </w:t>
      </w:r>
    </w:p>
    <w:p w14:paraId="3551FB15" w14:textId="77777777" w:rsidR="0010262B" w:rsidRPr="0010262B" w:rsidRDefault="0010262B" w:rsidP="0070161C">
      <w:pPr>
        <w:pStyle w:val="Tekstpodstawowy"/>
        <w:spacing w:before="2" w:line="288" w:lineRule="auto"/>
        <w:jc w:val="both"/>
        <w:rPr>
          <w:b/>
          <w:bCs/>
        </w:rPr>
      </w:pPr>
    </w:p>
    <w:p w14:paraId="5E421EFB" w14:textId="4AD60194" w:rsidR="0010262B" w:rsidRPr="00EC457A" w:rsidRDefault="00963FB0" w:rsidP="0070161C">
      <w:pPr>
        <w:pStyle w:val="Tekstpodstawowy"/>
        <w:spacing w:before="2" w:line="288" w:lineRule="auto"/>
        <w:jc w:val="both"/>
        <w:rPr>
          <w:bCs/>
        </w:rPr>
      </w:pPr>
      <w:r w:rsidRPr="00963FB0">
        <w:rPr>
          <w:bCs/>
        </w:rPr>
        <w:t>Na 30 listopada 2020 roku należności banków z tytułu kredytów mieszkaniowych w Polsce wyniosły 472,1 mld PLN i wzrosły o 6,2% r/r – zgodnie z danymi opublikowanymi przez NBP. Saldo kredytów udzielonych w złotych wzrosło o 10,1% r/r. i wyniosło 354,7 mld PLN.</w:t>
      </w:r>
    </w:p>
    <w:p w14:paraId="0A30AB75" w14:textId="25552E08" w:rsidR="0010262B" w:rsidRPr="00EC457A" w:rsidRDefault="0010262B" w:rsidP="0070161C">
      <w:pPr>
        <w:pStyle w:val="Tekstpodstawowy"/>
        <w:spacing w:before="2" w:line="288" w:lineRule="auto"/>
        <w:jc w:val="both"/>
        <w:rPr>
          <w:bCs/>
        </w:rPr>
      </w:pPr>
      <w:r w:rsidRPr="00EC457A">
        <w:rPr>
          <w:bCs/>
        </w:rPr>
        <w:t xml:space="preserve">Polski rynek kredytów hipotecznych praktycznie w całości jest zdominowany przez kredyty na zmienną stopę procentową. Aktualnie banki wprowadzają coraz szerzej do swych ofert kredyty oparte o </w:t>
      </w:r>
      <w:r w:rsidR="009E414F" w:rsidRPr="00EC457A">
        <w:rPr>
          <w:bCs/>
        </w:rPr>
        <w:t xml:space="preserve">okresowo </w:t>
      </w:r>
      <w:r w:rsidRPr="00EC457A">
        <w:rPr>
          <w:bCs/>
        </w:rPr>
        <w:t>stałą stopę procentową, które cieszą się rosnącym zainteresowaniem Klientów.</w:t>
      </w:r>
    </w:p>
    <w:p w14:paraId="2A4296C3" w14:textId="77777777" w:rsidR="0010262B" w:rsidRPr="00EC457A" w:rsidRDefault="0010262B" w:rsidP="0070161C">
      <w:pPr>
        <w:pStyle w:val="Tekstpodstawowy"/>
        <w:spacing w:before="2" w:line="288" w:lineRule="auto"/>
        <w:jc w:val="both"/>
        <w:rPr>
          <w:bCs/>
        </w:rPr>
      </w:pPr>
    </w:p>
    <w:p w14:paraId="64E34B3B" w14:textId="71D321F1" w:rsidR="00976347" w:rsidRPr="00EC457A" w:rsidRDefault="00963FB0" w:rsidP="0070161C">
      <w:pPr>
        <w:pStyle w:val="Tekstpodstawowy"/>
        <w:spacing w:before="2" w:line="288" w:lineRule="auto"/>
        <w:jc w:val="both"/>
        <w:rPr>
          <w:bCs/>
        </w:rPr>
      </w:pPr>
      <w:r w:rsidRPr="00B816FA">
        <w:rPr>
          <w:bCs/>
        </w:rPr>
        <w:t>ING Bank Śląski S.A. będący strategicznym partnerem Banku na koniec grudnia zajmował drugą pozycję na rynku pod kątem nowej sprzedaży oraz trzecią pozycję pod kątem wielkości posiadanego portfela kredytów hipotecznych w PLN</w:t>
      </w:r>
    </w:p>
    <w:p w14:paraId="4D220B5F" w14:textId="1533C050" w:rsidR="0010262B" w:rsidRDefault="00963FB0" w:rsidP="0070161C">
      <w:pPr>
        <w:pStyle w:val="Tekstpodstawowy"/>
        <w:spacing w:before="2" w:line="288" w:lineRule="auto"/>
        <w:jc w:val="both"/>
        <w:rPr>
          <w:bCs/>
        </w:rPr>
      </w:pPr>
      <w:r w:rsidRPr="00B816FA">
        <w:rPr>
          <w:bCs/>
        </w:rPr>
        <w:t xml:space="preserve">Duży popyt na mieszkania, rozwijająca się gospodarka oraz niskie stopy procentowe sprzyjają dalszemu wzrostowi rynku kredytów hipotecznych. Dalszy wzrost jest jednak uzależniony od rozwoju sytuacji związanej z pandemią COVID – 19. </w:t>
      </w:r>
    </w:p>
    <w:p w14:paraId="0C3698F0" w14:textId="77777777" w:rsidR="00A00D3A" w:rsidRDefault="00A00D3A" w:rsidP="0070161C">
      <w:pPr>
        <w:pStyle w:val="Tekstpodstawowy"/>
        <w:spacing w:before="2" w:line="288" w:lineRule="auto"/>
        <w:jc w:val="both"/>
        <w:rPr>
          <w:b/>
          <w:bCs/>
        </w:rPr>
      </w:pPr>
    </w:p>
    <w:p w14:paraId="49899B25" w14:textId="5AB27B72" w:rsidR="003F0DA1" w:rsidRDefault="003F0DA1" w:rsidP="0070161C">
      <w:pPr>
        <w:pStyle w:val="Tekstpodstawowy"/>
        <w:spacing w:before="2" w:line="288" w:lineRule="auto"/>
        <w:jc w:val="both"/>
        <w:rPr>
          <w:b/>
          <w:bCs/>
        </w:rPr>
      </w:pPr>
      <w:r w:rsidRPr="003F0DA1">
        <w:rPr>
          <w:b/>
          <w:bCs/>
        </w:rPr>
        <w:t xml:space="preserve">Działalność </w:t>
      </w:r>
      <w:r w:rsidR="000800B1">
        <w:rPr>
          <w:b/>
          <w:bCs/>
        </w:rPr>
        <w:t xml:space="preserve">ING </w:t>
      </w:r>
      <w:r w:rsidRPr="003F0DA1">
        <w:rPr>
          <w:b/>
          <w:bCs/>
        </w:rPr>
        <w:t>Banku</w:t>
      </w:r>
      <w:r w:rsidR="000800B1">
        <w:rPr>
          <w:b/>
          <w:bCs/>
        </w:rPr>
        <w:t xml:space="preserve"> Hipotecznego S.A.</w:t>
      </w:r>
    </w:p>
    <w:p w14:paraId="79657E5F" w14:textId="77777777" w:rsidR="003F0DA1" w:rsidRPr="003F0DA1" w:rsidRDefault="003F0DA1" w:rsidP="0070161C">
      <w:pPr>
        <w:pStyle w:val="Tekstpodstawowy"/>
        <w:spacing w:before="2" w:line="288" w:lineRule="auto"/>
        <w:jc w:val="both"/>
        <w:rPr>
          <w:b/>
          <w:bCs/>
        </w:rPr>
      </w:pPr>
    </w:p>
    <w:p w14:paraId="3B63B31F" w14:textId="64DFFE15" w:rsidR="00963FB0" w:rsidRDefault="00963FB0" w:rsidP="0070161C">
      <w:pPr>
        <w:pStyle w:val="Tekstpodstawowy"/>
        <w:spacing w:before="2" w:line="288" w:lineRule="auto"/>
        <w:jc w:val="both"/>
      </w:pPr>
      <w:r w:rsidRPr="00B816FA">
        <w:rPr>
          <w:bCs/>
        </w:rPr>
        <w:t xml:space="preserve">Rok 2020 był rokiem szczególnym z uwagi na sytuację zewnętrzną wywołaną na skutek pandemii spowodowanej przez wirusa COVID 19. Pomimo pandemii oraz obniżki stóp procentowych wpływających negatywnie na planowane wyniki Bank jest w bardzo dobrej sytuacji płynnościowej i kapitałowej, znacznie przewyższając wymagane poziomy regulacyjne. </w:t>
      </w:r>
      <w:r w:rsidRPr="00B816FA">
        <w:t>Realizowane przez Zarząd działania zmierzające do pozyskiwania, a następnie stopniowego zwiększania udziału długoterminowego finansowania w bilansie Banku poprzez emisję listów zastawnych, na skutek w/w czynników, musiały zostać dopasowane do sytuacji zewnętrznej i możliwości rynku. Zarząd podjął jednocześnie starania zmierzające do kompensaty niekorzystnego wpływu na realizowaną strategię, które pozwoliły na osiągnięcie dobrych wyników Banku</w:t>
      </w:r>
      <w:r>
        <w:t xml:space="preserve">. </w:t>
      </w:r>
    </w:p>
    <w:p w14:paraId="7ADB7DEE" w14:textId="77777777" w:rsidR="00963FB0" w:rsidRDefault="00963FB0" w:rsidP="0070161C">
      <w:pPr>
        <w:pStyle w:val="Tekstpodstawowy"/>
        <w:spacing w:before="2" w:line="288" w:lineRule="auto"/>
        <w:jc w:val="both"/>
      </w:pPr>
      <w:r w:rsidRPr="00B816FA">
        <w:t xml:space="preserve">Bank na bieżąco analizuje rozwój sytuacji, w tym rynek listów zastawnych oraz zmian w otoczeniu regulacyjnym i gospodarczym, jak również sytuację klientów. Powyższe pozwala na możliwość podejmowania przez Zarząd Banku adekwatnych do sytuacji działań.   </w:t>
      </w:r>
      <w:r>
        <w:t xml:space="preserve">W minionym okresie </w:t>
      </w:r>
      <w:r>
        <w:lastRenderedPageBreak/>
        <w:t>sprawozdawczym Bank nabył portfel kredytów hipotecznych w wysokości ponad 1 mld zł. Sukcesywne powiększanie portfela kredytów hipotecznych umożliwia przygotowanie Banku do kolejnej emisji listów zastawnych w sprzyjających ku temu warunkach rynkowych. W ramach dywersyfikacji źródeł finansowania Bank w 2020 r. przeprowadził również emisję obligacji własnych w wysokości ok. 1 mld zł.</w:t>
      </w:r>
    </w:p>
    <w:p w14:paraId="475AE390" w14:textId="44A83D67" w:rsidR="0010262B" w:rsidRDefault="0010262B" w:rsidP="0070161C">
      <w:pPr>
        <w:pStyle w:val="Tekstpodstawowy"/>
        <w:spacing w:before="2" w:line="288" w:lineRule="auto"/>
        <w:jc w:val="both"/>
        <w:rPr>
          <w:bCs/>
        </w:rPr>
      </w:pPr>
    </w:p>
    <w:p w14:paraId="1BA7BB80" w14:textId="3B4BC80C" w:rsidR="003F0DA1" w:rsidRDefault="0010262B" w:rsidP="0070161C">
      <w:pPr>
        <w:pStyle w:val="Tekstpodstawowy"/>
        <w:spacing w:before="2" w:line="288" w:lineRule="auto"/>
        <w:jc w:val="both"/>
        <w:rPr>
          <w:bCs/>
        </w:rPr>
      </w:pPr>
      <w:r w:rsidRPr="0010262B">
        <w:rPr>
          <w:bCs/>
        </w:rPr>
        <w:t xml:space="preserve">Rada Nadzorcza sprawuje nadzór nad działalnością </w:t>
      </w:r>
      <w:r w:rsidR="003F0DA1">
        <w:rPr>
          <w:bCs/>
        </w:rPr>
        <w:t>Banku</w:t>
      </w:r>
      <w:r w:rsidRPr="0010262B">
        <w:rPr>
          <w:bCs/>
        </w:rPr>
        <w:t>, czuwając n</w:t>
      </w:r>
      <w:r>
        <w:rPr>
          <w:bCs/>
        </w:rPr>
        <w:t xml:space="preserve">ad przestrzeganiem odpowiednich </w:t>
      </w:r>
      <w:r w:rsidRPr="0010262B">
        <w:rPr>
          <w:bCs/>
        </w:rPr>
        <w:t xml:space="preserve">przepisów prawa </w:t>
      </w:r>
      <w:r w:rsidR="000800B1">
        <w:rPr>
          <w:bCs/>
        </w:rPr>
        <w:t xml:space="preserve">w szczególności </w:t>
      </w:r>
      <w:r w:rsidRPr="0010262B">
        <w:rPr>
          <w:bCs/>
        </w:rPr>
        <w:t>dotyczących rachunkowości, finansów oraz sprawozd</w:t>
      </w:r>
      <w:r>
        <w:rPr>
          <w:bCs/>
        </w:rPr>
        <w:t>awczości</w:t>
      </w:r>
      <w:r w:rsidR="000800B1">
        <w:rPr>
          <w:bCs/>
        </w:rPr>
        <w:t>.</w:t>
      </w:r>
      <w:r>
        <w:rPr>
          <w:bCs/>
        </w:rPr>
        <w:t xml:space="preserve"> Do </w:t>
      </w:r>
      <w:r w:rsidRPr="0010262B">
        <w:rPr>
          <w:bCs/>
        </w:rPr>
        <w:t>kompetencji Rady Nadzorczej należy także nadzór nad procesami związanymi z zarządzan</w:t>
      </w:r>
      <w:r>
        <w:rPr>
          <w:bCs/>
        </w:rPr>
        <w:t xml:space="preserve">iem </w:t>
      </w:r>
      <w:r w:rsidRPr="0010262B">
        <w:rPr>
          <w:bCs/>
        </w:rPr>
        <w:t xml:space="preserve">poszczególnymi rodzajami ryzyka w ING Banku </w:t>
      </w:r>
      <w:r w:rsidR="003F0DA1">
        <w:rPr>
          <w:bCs/>
        </w:rPr>
        <w:t>Hipotecznym</w:t>
      </w:r>
      <w:r w:rsidRPr="0010262B">
        <w:rPr>
          <w:bCs/>
        </w:rPr>
        <w:t xml:space="preserve"> S.A. przy wspa</w:t>
      </w:r>
      <w:r>
        <w:rPr>
          <w:bCs/>
        </w:rPr>
        <w:t xml:space="preserve">rciu Komitetu </w:t>
      </w:r>
      <w:r w:rsidR="003F0DA1">
        <w:rPr>
          <w:bCs/>
        </w:rPr>
        <w:t>Audytu i Ryzyka</w:t>
      </w:r>
      <w:r w:rsidRPr="0010262B">
        <w:rPr>
          <w:bCs/>
        </w:rPr>
        <w:t xml:space="preserve">. Na podstawie rekomendacji </w:t>
      </w:r>
      <w:r w:rsidR="003F0DA1">
        <w:rPr>
          <w:bCs/>
        </w:rPr>
        <w:t>Komitetu</w:t>
      </w:r>
      <w:r w:rsidRPr="0010262B">
        <w:rPr>
          <w:bCs/>
        </w:rPr>
        <w:t>, Rada Nadzorcza a</w:t>
      </w:r>
      <w:r>
        <w:rPr>
          <w:bCs/>
        </w:rPr>
        <w:t xml:space="preserve">kceptuje i zatwierdza strategię </w:t>
      </w:r>
      <w:r w:rsidRPr="0010262B">
        <w:rPr>
          <w:bCs/>
        </w:rPr>
        <w:t>zarządzania ryzykiem w działalności Banku, główne zasady polityki</w:t>
      </w:r>
      <w:r>
        <w:rPr>
          <w:bCs/>
        </w:rPr>
        <w:t xml:space="preserve"> w tym zakresie, a także poziom </w:t>
      </w:r>
      <w:r w:rsidRPr="0010262B">
        <w:rPr>
          <w:bCs/>
        </w:rPr>
        <w:t>apetytu na ryzyko. Ponadto, Rada Nadzorcza monitoruje poziom wyk</w:t>
      </w:r>
      <w:r>
        <w:rPr>
          <w:bCs/>
        </w:rPr>
        <w:t xml:space="preserve">orzystania limitów wewnętrznych </w:t>
      </w:r>
      <w:r w:rsidRPr="0010262B">
        <w:rPr>
          <w:bCs/>
        </w:rPr>
        <w:t>z perspe</w:t>
      </w:r>
      <w:r>
        <w:rPr>
          <w:bCs/>
        </w:rPr>
        <w:t xml:space="preserve">ktywy bieżącej strategii Banku. </w:t>
      </w:r>
      <w:r w:rsidRPr="0010262B">
        <w:rPr>
          <w:bCs/>
        </w:rPr>
        <w:t xml:space="preserve">Komitet </w:t>
      </w:r>
      <w:r w:rsidR="003F0DA1">
        <w:rPr>
          <w:bCs/>
        </w:rPr>
        <w:t xml:space="preserve">Audytu i </w:t>
      </w:r>
      <w:r w:rsidRPr="0010262B">
        <w:rPr>
          <w:bCs/>
        </w:rPr>
        <w:t>Ryzyka zapewnia Radzie Nadzorczej wsparcie w zakresie monitorowania pro</w:t>
      </w:r>
      <w:r>
        <w:rPr>
          <w:bCs/>
        </w:rPr>
        <w:t xml:space="preserve">cesu zarządzania </w:t>
      </w:r>
      <w:r w:rsidRPr="0010262B">
        <w:rPr>
          <w:bCs/>
        </w:rPr>
        <w:t>ryzykiem, w tym ryzykiem ope</w:t>
      </w:r>
      <w:r w:rsidR="003F0DA1">
        <w:rPr>
          <w:bCs/>
        </w:rPr>
        <w:t>racyjnym,</w:t>
      </w:r>
      <w:r w:rsidR="00E95B6C">
        <w:rPr>
          <w:bCs/>
        </w:rPr>
        <w:t xml:space="preserve"> braku zgodności,</w:t>
      </w:r>
      <w:r w:rsidR="003F0DA1">
        <w:rPr>
          <w:bCs/>
        </w:rPr>
        <w:t xml:space="preserve"> ryzykiem kredytowym i </w:t>
      </w:r>
      <w:r w:rsidRPr="0010262B">
        <w:rPr>
          <w:bCs/>
        </w:rPr>
        <w:t>r</w:t>
      </w:r>
      <w:r>
        <w:rPr>
          <w:bCs/>
        </w:rPr>
        <w:t xml:space="preserve">yzykiem rynkowym. Komitet pełni </w:t>
      </w:r>
      <w:r w:rsidR="00E95B6C">
        <w:rPr>
          <w:bCs/>
        </w:rPr>
        <w:t>również nadzór</w:t>
      </w:r>
      <w:r w:rsidRPr="0010262B">
        <w:rPr>
          <w:bCs/>
        </w:rPr>
        <w:t xml:space="preserve"> nad: </w:t>
      </w:r>
      <w:r w:rsidR="00876AC7">
        <w:rPr>
          <w:bCs/>
        </w:rPr>
        <w:t xml:space="preserve">procesem </w:t>
      </w:r>
      <w:r w:rsidRPr="0010262B">
        <w:rPr>
          <w:bCs/>
        </w:rPr>
        <w:t>sza</w:t>
      </w:r>
      <w:r>
        <w:rPr>
          <w:bCs/>
        </w:rPr>
        <w:t>cowani</w:t>
      </w:r>
      <w:r w:rsidR="00876AC7">
        <w:rPr>
          <w:bCs/>
        </w:rPr>
        <w:t>a</w:t>
      </w:r>
      <w:r>
        <w:rPr>
          <w:bCs/>
        </w:rPr>
        <w:t xml:space="preserve"> kapitału wewnętrznego, </w:t>
      </w:r>
      <w:r w:rsidR="00876AC7">
        <w:rPr>
          <w:bCs/>
        </w:rPr>
        <w:t xml:space="preserve">procesem oceny </w:t>
      </w:r>
      <w:r w:rsidRPr="0010262B">
        <w:rPr>
          <w:bCs/>
        </w:rPr>
        <w:t xml:space="preserve">adekwatności kapitałowej oraz </w:t>
      </w:r>
      <w:r w:rsidR="00876AC7">
        <w:rPr>
          <w:bCs/>
        </w:rPr>
        <w:t xml:space="preserve">nad </w:t>
      </w:r>
      <w:r w:rsidRPr="0010262B">
        <w:rPr>
          <w:bCs/>
        </w:rPr>
        <w:t>ryzyk</w:t>
      </w:r>
      <w:r w:rsidR="00876AC7">
        <w:rPr>
          <w:bCs/>
        </w:rPr>
        <w:t>iem</w:t>
      </w:r>
      <w:r w:rsidRPr="0010262B">
        <w:rPr>
          <w:bCs/>
        </w:rPr>
        <w:t xml:space="preserve"> modeli zwią</w:t>
      </w:r>
      <w:r w:rsidR="003F0DA1">
        <w:rPr>
          <w:bCs/>
        </w:rPr>
        <w:t>zan</w:t>
      </w:r>
      <w:r w:rsidR="00876AC7">
        <w:rPr>
          <w:bCs/>
        </w:rPr>
        <w:t>ych</w:t>
      </w:r>
      <w:r w:rsidR="003F0DA1">
        <w:rPr>
          <w:bCs/>
        </w:rPr>
        <w:t xml:space="preserve"> z</w:t>
      </w:r>
      <w:r w:rsidR="00E95B6C">
        <w:rPr>
          <w:bCs/>
        </w:rPr>
        <w:t> </w:t>
      </w:r>
      <w:r w:rsidR="00876AC7">
        <w:rPr>
          <w:bCs/>
        </w:rPr>
        <w:t xml:space="preserve">kalkulacją </w:t>
      </w:r>
      <w:r w:rsidRPr="0010262B">
        <w:rPr>
          <w:bCs/>
        </w:rPr>
        <w:t>kapitał</w:t>
      </w:r>
      <w:r w:rsidR="00876AC7">
        <w:rPr>
          <w:bCs/>
        </w:rPr>
        <w:t>u oraz</w:t>
      </w:r>
      <w:r w:rsidRPr="0010262B">
        <w:rPr>
          <w:bCs/>
        </w:rPr>
        <w:t xml:space="preserve"> </w:t>
      </w:r>
      <w:r>
        <w:rPr>
          <w:bCs/>
        </w:rPr>
        <w:t xml:space="preserve">i innych modeli. Komitet wyraża </w:t>
      </w:r>
      <w:r w:rsidR="009E414F">
        <w:rPr>
          <w:bCs/>
        </w:rPr>
        <w:t>swoją opinię na </w:t>
      </w:r>
      <w:r w:rsidRPr="0010262B">
        <w:rPr>
          <w:bCs/>
        </w:rPr>
        <w:t>temat całościowej gotowości Banku do</w:t>
      </w:r>
      <w:r>
        <w:rPr>
          <w:bCs/>
        </w:rPr>
        <w:t xml:space="preserve"> podejmowania ryzyka w bieżącej i długoterminowej perspektywie. </w:t>
      </w:r>
    </w:p>
    <w:p w14:paraId="2D316604" w14:textId="19347A29" w:rsidR="006766F7" w:rsidRDefault="003F0DA1" w:rsidP="0070161C">
      <w:pPr>
        <w:pStyle w:val="Tekstpodstawowy"/>
        <w:spacing w:before="2" w:line="288" w:lineRule="auto"/>
        <w:jc w:val="both"/>
        <w:rPr>
          <w:bCs/>
        </w:rPr>
      </w:pPr>
      <w:r>
        <w:rPr>
          <w:bCs/>
        </w:rPr>
        <w:t>Podobnie</w:t>
      </w:r>
      <w:r w:rsidR="000800B1">
        <w:rPr>
          <w:bCs/>
        </w:rPr>
        <w:t>, do zadań Komitetu należy</w:t>
      </w:r>
      <w:r>
        <w:rPr>
          <w:bCs/>
        </w:rPr>
        <w:t xml:space="preserve"> m</w:t>
      </w:r>
      <w:r w:rsidR="0010262B" w:rsidRPr="0010262B">
        <w:rPr>
          <w:bCs/>
        </w:rPr>
        <w:t>onitorowanie procesu sprawozdawczości finansowej</w:t>
      </w:r>
      <w:r w:rsidR="0010262B">
        <w:rPr>
          <w:bCs/>
        </w:rPr>
        <w:t xml:space="preserve">. W tym </w:t>
      </w:r>
      <w:r>
        <w:rPr>
          <w:bCs/>
        </w:rPr>
        <w:t xml:space="preserve">kontekście, Komitet </w:t>
      </w:r>
      <w:r w:rsidR="0010262B" w:rsidRPr="0010262B">
        <w:rPr>
          <w:bCs/>
        </w:rPr>
        <w:t>cyklicznie analizuje sprawozdania fina</w:t>
      </w:r>
      <w:r w:rsidR="0010262B">
        <w:rPr>
          <w:bCs/>
        </w:rPr>
        <w:t xml:space="preserve">nsowe Banku oraz wyniki badania </w:t>
      </w:r>
      <w:r w:rsidR="006766F7">
        <w:rPr>
          <w:bCs/>
        </w:rPr>
        <w:t xml:space="preserve">tych sprawozdań. </w:t>
      </w:r>
      <w:r w:rsidR="0010262B" w:rsidRPr="0010262B">
        <w:rPr>
          <w:bCs/>
        </w:rPr>
        <w:t>Komitet Audytu</w:t>
      </w:r>
      <w:r w:rsidR="006766F7">
        <w:rPr>
          <w:bCs/>
        </w:rPr>
        <w:t xml:space="preserve"> i Ryzyka</w:t>
      </w:r>
      <w:r w:rsidR="0010262B" w:rsidRPr="0010262B">
        <w:rPr>
          <w:bCs/>
        </w:rPr>
        <w:t xml:space="preserve"> analizuje także wyniki prac p</w:t>
      </w:r>
      <w:r w:rsidR="0010262B">
        <w:rPr>
          <w:bCs/>
        </w:rPr>
        <w:t xml:space="preserve">odmiotu uprawnionego do badania </w:t>
      </w:r>
      <w:r w:rsidR="0010262B" w:rsidRPr="0010262B">
        <w:rPr>
          <w:bCs/>
        </w:rPr>
        <w:t>sprawozdań finansowych, czuwając nad jego niezależnością i efektyw</w:t>
      </w:r>
      <w:r w:rsidR="0010262B">
        <w:rPr>
          <w:bCs/>
        </w:rPr>
        <w:t xml:space="preserve">nością. Ponadto, Komitet </w:t>
      </w:r>
      <w:r w:rsidR="0010262B" w:rsidRPr="0010262B">
        <w:rPr>
          <w:bCs/>
        </w:rPr>
        <w:t>monitoruje skuteczność systemów kontroli wewnętrznej oraz audytu wewnętrznego, a także dokonuje</w:t>
      </w:r>
      <w:r w:rsidR="0010262B">
        <w:rPr>
          <w:bCs/>
        </w:rPr>
        <w:t xml:space="preserve"> </w:t>
      </w:r>
      <w:r w:rsidR="0010262B" w:rsidRPr="0010262B">
        <w:rPr>
          <w:bCs/>
        </w:rPr>
        <w:t>oceny skuteczności środków stosowanych w celu ograniczania ry</w:t>
      </w:r>
      <w:r w:rsidR="006766F7">
        <w:rPr>
          <w:bCs/>
        </w:rPr>
        <w:t xml:space="preserve">zyka braku zgodności oraz oceny </w:t>
      </w:r>
      <w:r w:rsidR="0010262B" w:rsidRPr="0010262B">
        <w:rPr>
          <w:bCs/>
        </w:rPr>
        <w:t>ja</w:t>
      </w:r>
      <w:r w:rsidR="0010262B">
        <w:rPr>
          <w:bCs/>
        </w:rPr>
        <w:t xml:space="preserve">kości zarządzania tym ryzykiem. </w:t>
      </w:r>
    </w:p>
    <w:p w14:paraId="48E614D9" w14:textId="77777777" w:rsidR="00EC457A" w:rsidRDefault="0010262B" w:rsidP="0070161C">
      <w:pPr>
        <w:pStyle w:val="Tekstpodstawowy"/>
        <w:spacing w:before="2" w:line="288" w:lineRule="auto"/>
        <w:jc w:val="both"/>
        <w:rPr>
          <w:bCs/>
        </w:rPr>
      </w:pPr>
      <w:r w:rsidRPr="0010262B">
        <w:rPr>
          <w:bCs/>
        </w:rPr>
        <w:t xml:space="preserve">Zdaniem Rady Nadzorczej, system zarządzania ryzykiem w ING Banku </w:t>
      </w:r>
      <w:r w:rsidR="006766F7">
        <w:rPr>
          <w:bCs/>
        </w:rPr>
        <w:t>Hipotecznym</w:t>
      </w:r>
      <w:r>
        <w:rPr>
          <w:bCs/>
        </w:rPr>
        <w:t xml:space="preserve"> S.A. obejmuje </w:t>
      </w:r>
      <w:r w:rsidRPr="0010262B">
        <w:rPr>
          <w:bCs/>
        </w:rPr>
        <w:t>wszystkie istotne rodzaje ryzyka, a w procesach ich identyfikacji, pomi</w:t>
      </w:r>
      <w:r>
        <w:rPr>
          <w:bCs/>
        </w:rPr>
        <w:t xml:space="preserve">aru, zarządzania i raportowania </w:t>
      </w:r>
      <w:r w:rsidRPr="0010262B">
        <w:rPr>
          <w:bCs/>
        </w:rPr>
        <w:t>wykorzystywane są instrumenty</w:t>
      </w:r>
      <w:r>
        <w:rPr>
          <w:bCs/>
        </w:rPr>
        <w:t xml:space="preserve"> i techniki właściwe dla danego </w:t>
      </w:r>
      <w:r w:rsidRPr="0010262B">
        <w:rPr>
          <w:bCs/>
        </w:rPr>
        <w:t>rodza</w:t>
      </w:r>
      <w:r w:rsidR="006766F7">
        <w:rPr>
          <w:bCs/>
        </w:rPr>
        <w:t xml:space="preserve">ju ryzyka. </w:t>
      </w:r>
    </w:p>
    <w:p w14:paraId="4194433E" w14:textId="075AB29B" w:rsidR="0010262B" w:rsidRDefault="006766F7" w:rsidP="0070161C">
      <w:pPr>
        <w:pStyle w:val="Tekstpodstawowy"/>
        <w:spacing w:before="2" w:line="288" w:lineRule="auto"/>
        <w:jc w:val="both"/>
        <w:rPr>
          <w:bCs/>
        </w:rPr>
      </w:pPr>
      <w:r>
        <w:rPr>
          <w:bCs/>
        </w:rPr>
        <w:t>W 20</w:t>
      </w:r>
      <w:r w:rsidR="00963FB0">
        <w:rPr>
          <w:bCs/>
        </w:rPr>
        <w:t>20</w:t>
      </w:r>
      <w:r w:rsidR="0010262B">
        <w:rPr>
          <w:bCs/>
        </w:rPr>
        <w:t xml:space="preserve"> roku ING Bank </w:t>
      </w:r>
      <w:r>
        <w:rPr>
          <w:bCs/>
        </w:rPr>
        <w:t>Hipoteczny</w:t>
      </w:r>
      <w:r w:rsidR="0010262B" w:rsidRPr="0010262B">
        <w:rPr>
          <w:bCs/>
        </w:rPr>
        <w:t xml:space="preserve"> S.A. spełniał wymogi bezpiecznego działa</w:t>
      </w:r>
      <w:r w:rsidR="0010262B">
        <w:rPr>
          <w:bCs/>
        </w:rPr>
        <w:t xml:space="preserve">nia i adekwatności kapitałowej, </w:t>
      </w:r>
      <w:r w:rsidR="0010262B" w:rsidRPr="0010262B">
        <w:rPr>
          <w:bCs/>
        </w:rPr>
        <w:t>a w szczególności:</w:t>
      </w:r>
    </w:p>
    <w:p w14:paraId="67016362" w14:textId="77777777" w:rsidR="00876AC7" w:rsidRPr="0010262B" w:rsidRDefault="00876AC7" w:rsidP="0070161C">
      <w:pPr>
        <w:pStyle w:val="Tekstpodstawowy"/>
        <w:spacing w:before="2" w:line="288" w:lineRule="auto"/>
        <w:jc w:val="both"/>
        <w:rPr>
          <w:bCs/>
        </w:rPr>
      </w:pPr>
    </w:p>
    <w:p w14:paraId="414247F8" w14:textId="4C7C1330" w:rsidR="00876AC7" w:rsidRDefault="0010262B" w:rsidP="0070161C">
      <w:pPr>
        <w:pStyle w:val="Tekstpodstawowy"/>
        <w:numPr>
          <w:ilvl w:val="0"/>
          <w:numId w:val="17"/>
        </w:numPr>
        <w:spacing w:before="2" w:line="288" w:lineRule="auto"/>
        <w:jc w:val="both"/>
        <w:rPr>
          <w:bCs/>
        </w:rPr>
      </w:pPr>
      <w:r w:rsidRPr="0010262B">
        <w:rPr>
          <w:bCs/>
        </w:rPr>
        <w:t>prowadził ostrożną politykę kredytową</w:t>
      </w:r>
      <w:r w:rsidR="00876AC7">
        <w:rPr>
          <w:bCs/>
        </w:rPr>
        <w:t xml:space="preserve"> – Bank posiadał w swoim portfelu tylko kredyty udzielone w złotówkach (PLN).</w:t>
      </w:r>
      <w:r w:rsidRPr="0010262B">
        <w:rPr>
          <w:bCs/>
        </w:rPr>
        <w:t xml:space="preserve"> Procesy i procedury k</w:t>
      </w:r>
      <w:r>
        <w:rPr>
          <w:bCs/>
        </w:rPr>
        <w:t xml:space="preserve">redytowe były zgodne z wymogami </w:t>
      </w:r>
      <w:r w:rsidR="009E414F">
        <w:rPr>
          <w:bCs/>
        </w:rPr>
        <w:t>nadzorczymi i z </w:t>
      </w:r>
      <w:r w:rsidRPr="0010262B">
        <w:rPr>
          <w:bCs/>
        </w:rPr>
        <w:t>najlepszymi wzorcami występującymi na rynk</w:t>
      </w:r>
      <w:r w:rsidR="006766F7">
        <w:rPr>
          <w:bCs/>
        </w:rPr>
        <w:t xml:space="preserve">u. </w:t>
      </w:r>
      <w:r w:rsidR="00876AC7" w:rsidRPr="00876AC7">
        <w:rPr>
          <w:bCs/>
        </w:rPr>
        <w:t>Bank posiadał zdywersyfikowany portfel kredytowy o bardzo</w:t>
      </w:r>
      <w:r w:rsidR="00876AC7">
        <w:rPr>
          <w:bCs/>
        </w:rPr>
        <w:t xml:space="preserve"> dobrej jakości – w całym 20</w:t>
      </w:r>
      <w:r w:rsidR="00EC274A">
        <w:rPr>
          <w:bCs/>
        </w:rPr>
        <w:t>20</w:t>
      </w:r>
      <w:r w:rsidR="00876AC7">
        <w:rPr>
          <w:bCs/>
        </w:rPr>
        <w:t xml:space="preserve"> roku</w:t>
      </w:r>
      <w:r w:rsidR="00876AC7" w:rsidRPr="00876AC7">
        <w:rPr>
          <w:bCs/>
        </w:rPr>
        <w:t xml:space="preserve"> odnotowano 2</w:t>
      </w:r>
      <w:r w:rsidR="00EC274A">
        <w:rPr>
          <w:bCs/>
        </w:rPr>
        <w:t>6</w:t>
      </w:r>
      <w:r w:rsidR="00876AC7" w:rsidRPr="00876AC7">
        <w:rPr>
          <w:bCs/>
        </w:rPr>
        <w:t xml:space="preserve"> przypadk</w:t>
      </w:r>
      <w:r w:rsidR="00EC274A">
        <w:rPr>
          <w:bCs/>
        </w:rPr>
        <w:t>ów</w:t>
      </w:r>
      <w:r w:rsidR="00876AC7" w:rsidRPr="00876AC7">
        <w:rPr>
          <w:bCs/>
        </w:rPr>
        <w:t xml:space="preserve"> kredytów z utratą wartości (w Etapie 3) </w:t>
      </w:r>
      <w:r w:rsidR="00EC274A" w:rsidRPr="00EC274A">
        <w:rPr>
          <w:bCs/>
        </w:rPr>
        <w:t xml:space="preserve">– z czego 22 dotyczyło </w:t>
      </w:r>
      <w:proofErr w:type="spellStart"/>
      <w:r w:rsidR="00EC274A">
        <w:rPr>
          <w:bCs/>
        </w:rPr>
        <w:t>zaangażowań</w:t>
      </w:r>
      <w:proofErr w:type="spellEnd"/>
      <w:r w:rsidR="00EC274A" w:rsidRPr="00EC274A">
        <w:rPr>
          <w:bCs/>
        </w:rPr>
        <w:t xml:space="preserve"> w wyniku złożenia przez klientów wniosków o tzw. „ustawowe wakacje kredytowe”. Udział kredytów niepracujących </w:t>
      </w:r>
      <w:r w:rsidR="00EC274A">
        <w:rPr>
          <w:bCs/>
        </w:rPr>
        <w:t xml:space="preserve">w </w:t>
      </w:r>
      <w:r w:rsidR="00876AC7" w:rsidRPr="00876AC7">
        <w:rPr>
          <w:bCs/>
        </w:rPr>
        <w:t xml:space="preserve">całości </w:t>
      </w:r>
      <w:proofErr w:type="spellStart"/>
      <w:r w:rsidR="00876AC7" w:rsidRPr="00876AC7">
        <w:rPr>
          <w:bCs/>
        </w:rPr>
        <w:t>zaangażowa</w:t>
      </w:r>
      <w:r w:rsidR="00EC274A">
        <w:rPr>
          <w:bCs/>
        </w:rPr>
        <w:t>ń</w:t>
      </w:r>
      <w:proofErr w:type="spellEnd"/>
      <w:r w:rsidR="00876AC7" w:rsidRPr="00876AC7">
        <w:rPr>
          <w:bCs/>
        </w:rPr>
        <w:t xml:space="preserve"> brutto</w:t>
      </w:r>
      <w:r w:rsidR="00EC274A">
        <w:rPr>
          <w:bCs/>
        </w:rPr>
        <w:t xml:space="preserve"> stanowił na koniec 2020 r. ok. 0,15% </w:t>
      </w:r>
      <w:r w:rsidR="00876AC7" w:rsidRPr="00876AC7">
        <w:rPr>
          <w:bCs/>
        </w:rPr>
        <w:t xml:space="preserve"> - czyli istotnie mniej niż średnio w całym sektorze bankowym, parametry (PD, LGD) i koszty r</w:t>
      </w:r>
      <w:r w:rsidR="00876AC7">
        <w:rPr>
          <w:bCs/>
        </w:rPr>
        <w:t>yzyka były na niskim poziomie.</w:t>
      </w:r>
      <w:r w:rsidR="00EC274A">
        <w:rPr>
          <w:bCs/>
        </w:rPr>
        <w:t xml:space="preserve"> </w:t>
      </w:r>
      <w:r w:rsidR="00EC274A" w:rsidRPr="00FC7060">
        <w:rPr>
          <w:bCs/>
        </w:rPr>
        <w:t xml:space="preserve">Średnia waga ryzyka dla portfela </w:t>
      </w:r>
      <w:r w:rsidR="00EC274A">
        <w:rPr>
          <w:bCs/>
        </w:rPr>
        <w:t>dla portfela kredytów hipotecznych wykazywała trwałą tendencję spadkową wraz ze wzrostem wpisów hipotek na rzecz IN</w:t>
      </w:r>
      <w:r w:rsidR="00965183">
        <w:rPr>
          <w:bCs/>
        </w:rPr>
        <w:t>G</w:t>
      </w:r>
      <w:r w:rsidR="00EC274A">
        <w:rPr>
          <w:bCs/>
        </w:rPr>
        <w:t xml:space="preserve"> BH i </w:t>
      </w:r>
      <w:r w:rsidR="00EC274A" w:rsidRPr="00FC7060">
        <w:rPr>
          <w:bCs/>
        </w:rPr>
        <w:t xml:space="preserve"> na koniec grudnia wyniosła ok. 37,3%</w:t>
      </w:r>
      <w:r w:rsidR="00EC274A">
        <w:rPr>
          <w:bCs/>
        </w:rPr>
        <w:t>.</w:t>
      </w:r>
      <w:r w:rsidR="00EC274A" w:rsidRPr="00FC7060">
        <w:rPr>
          <w:bCs/>
        </w:rPr>
        <w:t xml:space="preserve"> </w:t>
      </w:r>
      <w:r w:rsidR="00876AC7">
        <w:rPr>
          <w:bCs/>
        </w:rPr>
        <w:t xml:space="preserve"> </w:t>
      </w:r>
      <w:r w:rsidR="00876AC7" w:rsidRPr="00876AC7">
        <w:rPr>
          <w:bCs/>
        </w:rPr>
        <w:t xml:space="preserve">Średnie </w:t>
      </w:r>
      <w:proofErr w:type="spellStart"/>
      <w:r w:rsidR="00876AC7" w:rsidRPr="00876AC7">
        <w:rPr>
          <w:bCs/>
        </w:rPr>
        <w:t>LtV</w:t>
      </w:r>
      <w:proofErr w:type="spellEnd"/>
      <w:r w:rsidR="00876AC7" w:rsidRPr="00876AC7">
        <w:rPr>
          <w:bCs/>
        </w:rPr>
        <w:t xml:space="preserve"> oparte o bankowo-hipoteczną wartość nieruchomości utrzym</w:t>
      </w:r>
      <w:r w:rsidR="00876AC7">
        <w:rPr>
          <w:bCs/>
        </w:rPr>
        <w:t>ywało się na stabilnym poziomie</w:t>
      </w:r>
      <w:r w:rsidR="00C77D7D">
        <w:rPr>
          <w:bCs/>
        </w:rPr>
        <w:t xml:space="preserve"> poniżej 63%</w:t>
      </w:r>
      <w:r w:rsidR="00EC274A">
        <w:rPr>
          <w:bCs/>
        </w:rPr>
        <w:t xml:space="preserve">. </w:t>
      </w:r>
      <w:r w:rsidR="00EC274A" w:rsidRPr="00EC274A">
        <w:rPr>
          <w:bCs/>
        </w:rPr>
        <w:t>W całym 2020r. nie odnotowano przekroczeń ani kluczowych ani szczegółowych limitów RAS w zakresie ryzyka kredytowego</w:t>
      </w:r>
      <w:r w:rsidR="00EC274A">
        <w:rPr>
          <w:bCs/>
        </w:rPr>
        <w:t>;</w:t>
      </w:r>
    </w:p>
    <w:p w14:paraId="4871B8C9" w14:textId="1D76FA5E" w:rsidR="000800B1" w:rsidRDefault="000800B1" w:rsidP="0070161C">
      <w:pPr>
        <w:pStyle w:val="Tekstpodstawowy"/>
        <w:spacing w:before="2" w:line="288" w:lineRule="auto"/>
        <w:ind w:left="720"/>
        <w:jc w:val="both"/>
        <w:rPr>
          <w:bCs/>
        </w:rPr>
      </w:pPr>
    </w:p>
    <w:p w14:paraId="799332F8" w14:textId="4EF8F4D3" w:rsidR="000800B1" w:rsidRDefault="0010262B" w:rsidP="0070161C">
      <w:pPr>
        <w:pStyle w:val="Tekstpodstawowy"/>
        <w:numPr>
          <w:ilvl w:val="0"/>
          <w:numId w:val="17"/>
        </w:numPr>
        <w:spacing w:before="2" w:line="288" w:lineRule="auto"/>
        <w:jc w:val="both"/>
        <w:rPr>
          <w:bCs/>
        </w:rPr>
      </w:pPr>
      <w:r w:rsidRPr="000800B1">
        <w:rPr>
          <w:bCs/>
        </w:rPr>
        <w:t>posiadał spełniające najwyższe standardy ry</w:t>
      </w:r>
      <w:r w:rsidR="009E414F">
        <w:rPr>
          <w:bCs/>
        </w:rPr>
        <w:t xml:space="preserve">nkowe, polityki </w:t>
      </w:r>
      <w:r w:rsidRPr="000800B1">
        <w:rPr>
          <w:bCs/>
        </w:rPr>
        <w:t>i systemy w obszarze zar</w:t>
      </w:r>
      <w:r w:rsidR="009E414F">
        <w:rPr>
          <w:bCs/>
        </w:rPr>
        <w:t xml:space="preserve">ządzania </w:t>
      </w:r>
      <w:r w:rsidR="009E414F">
        <w:rPr>
          <w:bCs/>
        </w:rPr>
        <w:lastRenderedPageBreak/>
        <w:t>ryzykiem rynkowym</w:t>
      </w:r>
      <w:r w:rsidR="006766F7" w:rsidRPr="000800B1">
        <w:rPr>
          <w:bCs/>
        </w:rPr>
        <w:t>. W ciągu 20</w:t>
      </w:r>
      <w:r w:rsidR="001B5533">
        <w:rPr>
          <w:bCs/>
        </w:rPr>
        <w:t>20</w:t>
      </w:r>
      <w:r w:rsidRPr="000800B1">
        <w:rPr>
          <w:bCs/>
        </w:rPr>
        <w:t xml:space="preserve"> roku aktywnie zarządzano poszczególnymi kategoriami ryzyka rynkowego tak, aby ich poziom mieścił się w granicach </w:t>
      </w:r>
      <w:r w:rsidR="009E414F">
        <w:rPr>
          <w:bCs/>
        </w:rPr>
        <w:t>obowiązujących w Banku limitów;</w:t>
      </w:r>
    </w:p>
    <w:p w14:paraId="0DB317F4" w14:textId="35FC806B" w:rsidR="009E414F" w:rsidRDefault="009E414F" w:rsidP="0070161C">
      <w:pPr>
        <w:pStyle w:val="Tekstpodstawowy"/>
        <w:spacing w:before="2" w:line="288" w:lineRule="auto"/>
        <w:jc w:val="both"/>
        <w:rPr>
          <w:bCs/>
        </w:rPr>
      </w:pPr>
    </w:p>
    <w:p w14:paraId="70F63AC9" w14:textId="3FD51B11" w:rsidR="00876AC7" w:rsidRPr="00E95B6C" w:rsidRDefault="0010262B" w:rsidP="0070161C">
      <w:pPr>
        <w:pStyle w:val="Tekstpodstawowy"/>
        <w:numPr>
          <w:ilvl w:val="0"/>
          <w:numId w:val="17"/>
        </w:numPr>
        <w:spacing w:before="2" w:line="288" w:lineRule="auto"/>
        <w:jc w:val="both"/>
        <w:rPr>
          <w:bCs/>
        </w:rPr>
      </w:pPr>
      <w:r w:rsidRPr="000800B1">
        <w:rPr>
          <w:bCs/>
        </w:rPr>
        <w:t xml:space="preserve">utrzymywał </w:t>
      </w:r>
      <w:r w:rsidR="009E414F">
        <w:rPr>
          <w:bCs/>
        </w:rPr>
        <w:t>stabilną</w:t>
      </w:r>
      <w:r w:rsidRPr="000800B1">
        <w:rPr>
          <w:bCs/>
        </w:rPr>
        <w:t xml:space="preserve"> sytua</w:t>
      </w:r>
      <w:r w:rsidR="006766F7" w:rsidRPr="000800B1">
        <w:rPr>
          <w:bCs/>
        </w:rPr>
        <w:t xml:space="preserve">cję płynnościową. </w:t>
      </w:r>
      <w:r w:rsidR="009E414F">
        <w:rPr>
          <w:bCs/>
        </w:rPr>
        <w:t>W 20</w:t>
      </w:r>
      <w:r w:rsidR="001B5533">
        <w:rPr>
          <w:bCs/>
        </w:rPr>
        <w:t>20</w:t>
      </w:r>
      <w:r w:rsidR="009E414F">
        <w:rPr>
          <w:bCs/>
        </w:rPr>
        <w:t xml:space="preserve"> roku nadzorcze miary płynnościowe kształtowały się powyżej limitów regulacyjnych</w:t>
      </w:r>
      <w:r w:rsidR="001B5533">
        <w:rPr>
          <w:bCs/>
        </w:rPr>
        <w:t xml:space="preserve"> – wyniki testów warunków skrajnych pokazują dobrą </w:t>
      </w:r>
      <w:r w:rsidR="00965183">
        <w:rPr>
          <w:bCs/>
        </w:rPr>
        <w:t>sytuację</w:t>
      </w:r>
      <w:r w:rsidR="001B5533">
        <w:rPr>
          <w:bCs/>
        </w:rPr>
        <w:t xml:space="preserve"> płynnościową Banku</w:t>
      </w:r>
      <w:r w:rsidR="009E414F">
        <w:rPr>
          <w:bCs/>
        </w:rPr>
        <w:t>;</w:t>
      </w:r>
    </w:p>
    <w:p w14:paraId="22309B2B" w14:textId="77777777" w:rsidR="00876AC7" w:rsidRDefault="00876AC7" w:rsidP="0070161C">
      <w:pPr>
        <w:pStyle w:val="Tekstpodstawowy"/>
        <w:spacing w:before="2" w:line="288" w:lineRule="auto"/>
        <w:ind w:left="720"/>
        <w:jc w:val="both"/>
        <w:rPr>
          <w:bCs/>
        </w:rPr>
      </w:pPr>
    </w:p>
    <w:p w14:paraId="43B0B0CC" w14:textId="77777777" w:rsidR="00C77D7D" w:rsidRDefault="00876AC7" w:rsidP="0070161C">
      <w:pPr>
        <w:pStyle w:val="Tekstpodstawowy"/>
        <w:numPr>
          <w:ilvl w:val="0"/>
          <w:numId w:val="17"/>
        </w:numPr>
        <w:spacing w:before="2" w:line="288" w:lineRule="auto"/>
        <w:jc w:val="both"/>
        <w:rPr>
          <w:bCs/>
        </w:rPr>
      </w:pPr>
      <w:r w:rsidRPr="00876AC7">
        <w:rPr>
          <w:bCs/>
        </w:rPr>
        <w:t>aktywnie zarządzał ryzykiem modeli stosowanych przez</w:t>
      </w:r>
      <w:r>
        <w:rPr>
          <w:bCs/>
        </w:rPr>
        <w:t xml:space="preserve"> B</w:t>
      </w:r>
      <w:r w:rsidRPr="00876AC7">
        <w:rPr>
          <w:bCs/>
        </w:rPr>
        <w:t>ank, tak</w:t>
      </w:r>
      <w:r>
        <w:rPr>
          <w:bCs/>
        </w:rPr>
        <w:t>, aby jego poziom mieścił się w </w:t>
      </w:r>
      <w:r w:rsidRPr="00876AC7">
        <w:rPr>
          <w:bCs/>
        </w:rPr>
        <w:t>granicach przyjętego apetytu na ryzyko modeli</w:t>
      </w:r>
      <w:r w:rsidR="00C77D7D">
        <w:rPr>
          <w:bCs/>
        </w:rPr>
        <w:t>;</w:t>
      </w:r>
    </w:p>
    <w:p w14:paraId="38AB1818" w14:textId="77777777" w:rsidR="00C77D7D" w:rsidRDefault="00C77D7D" w:rsidP="0070161C">
      <w:pPr>
        <w:pStyle w:val="Akapitzlist"/>
        <w:spacing w:line="288" w:lineRule="auto"/>
        <w:rPr>
          <w:bCs/>
        </w:rPr>
      </w:pPr>
    </w:p>
    <w:p w14:paraId="75670694" w14:textId="753F51E9" w:rsidR="000800B1" w:rsidRPr="006343B2" w:rsidRDefault="00C77D7D" w:rsidP="0070161C">
      <w:pPr>
        <w:pStyle w:val="Akapitzlist"/>
        <w:numPr>
          <w:ilvl w:val="0"/>
          <w:numId w:val="17"/>
        </w:numPr>
        <w:spacing w:line="288" w:lineRule="auto"/>
        <w:rPr>
          <w:bCs/>
        </w:rPr>
      </w:pPr>
      <w:r w:rsidRPr="00C77D7D">
        <w:rPr>
          <w:bCs/>
          <w:sz w:val="20"/>
          <w:szCs w:val="20"/>
        </w:rPr>
        <w:t>aktywnie zarządzał oraz utrzymywał poziom ryzyka niefinansowego poniżej przyjętych limitów strat, w granicach apetytu na ryzyko niefinansowe</w:t>
      </w:r>
      <w:r>
        <w:rPr>
          <w:bCs/>
          <w:sz w:val="20"/>
          <w:szCs w:val="20"/>
        </w:rPr>
        <w:t>;</w:t>
      </w:r>
      <w:r w:rsidR="00876AC7" w:rsidRPr="00E95B6C">
        <w:rPr>
          <w:bCs/>
        </w:rPr>
        <w:t xml:space="preserve"> </w:t>
      </w:r>
    </w:p>
    <w:p w14:paraId="30BCCEBB" w14:textId="3DD5FF67" w:rsidR="00876AC7" w:rsidRDefault="00876AC7" w:rsidP="0070161C">
      <w:pPr>
        <w:pStyle w:val="Tekstpodstawowy"/>
        <w:spacing w:before="2" w:line="288" w:lineRule="auto"/>
        <w:jc w:val="both"/>
        <w:rPr>
          <w:bCs/>
        </w:rPr>
      </w:pPr>
    </w:p>
    <w:p w14:paraId="1F627DBB" w14:textId="421331B7" w:rsidR="003F0DA1" w:rsidRPr="000800B1" w:rsidRDefault="0010262B" w:rsidP="0070161C">
      <w:pPr>
        <w:pStyle w:val="Tekstpodstawowy"/>
        <w:numPr>
          <w:ilvl w:val="0"/>
          <w:numId w:val="17"/>
        </w:numPr>
        <w:spacing w:before="2" w:line="288" w:lineRule="auto"/>
        <w:jc w:val="both"/>
        <w:rPr>
          <w:bCs/>
        </w:rPr>
      </w:pPr>
      <w:r w:rsidRPr="000800B1">
        <w:rPr>
          <w:bCs/>
        </w:rPr>
        <w:t xml:space="preserve">dysponował adekwatnym poziomem kapitałów własnych, pozwalającym spełnić wymagania nadzorcze. </w:t>
      </w:r>
    </w:p>
    <w:p w14:paraId="3AADDFFD" w14:textId="77777777" w:rsidR="003F0DA1" w:rsidRDefault="003F0DA1" w:rsidP="0070161C">
      <w:pPr>
        <w:pStyle w:val="Tekstpodstawowy"/>
        <w:spacing w:before="2" w:line="288" w:lineRule="auto"/>
        <w:jc w:val="both"/>
        <w:rPr>
          <w:bCs/>
        </w:rPr>
      </w:pPr>
    </w:p>
    <w:p w14:paraId="01B12E8C" w14:textId="77777777" w:rsidR="00876AD1" w:rsidRPr="00876AD1" w:rsidRDefault="00876AD1" w:rsidP="0070161C">
      <w:pPr>
        <w:pStyle w:val="Tekstpodstawowy"/>
        <w:spacing w:before="2" w:line="288" w:lineRule="auto"/>
        <w:jc w:val="both"/>
        <w:rPr>
          <w:bCs/>
        </w:rPr>
      </w:pPr>
      <w:r w:rsidRPr="00876AD1">
        <w:rPr>
          <w:bCs/>
        </w:rPr>
        <w:t xml:space="preserve">W ING Banku Hipotecznym S.A. funkcjonuje sprawny System Kontroli Wewnętrznej obejmujący wszystkie jednostki organizacyjne Banku i wszystkie trzy linie obrony. Główne cele Systemu Kontroli Wewnętrznej zostały w 2020 roku osiągnięte. </w:t>
      </w:r>
    </w:p>
    <w:p w14:paraId="055351E8" w14:textId="77777777" w:rsidR="00876AD1" w:rsidRPr="00876AD1" w:rsidRDefault="00876AD1" w:rsidP="0070161C">
      <w:pPr>
        <w:pStyle w:val="Tekstpodstawowy"/>
        <w:spacing w:before="2" w:line="288" w:lineRule="auto"/>
        <w:jc w:val="both"/>
        <w:rPr>
          <w:bCs/>
        </w:rPr>
      </w:pPr>
      <w:r w:rsidRPr="00876AD1">
        <w:rPr>
          <w:bCs/>
        </w:rPr>
        <w:t xml:space="preserve">W Banku funkcjonuje sformalizowana ścieżka raportowania skali oraz charakteru zidentyfikowanych nieprawidłowości, jak również statusu podejmowanych działań naprawczych i środków dyscyplinujących. W szczególności, informacja o otwartych rekomendacjach krytycznego i wysokiego ryzyka (jeśli występują) przekazywana jest kwartalnie Komitetowi Audytu i Ryzyka. Działania naprawcze są zaplanowane, realizowane, a ich status na bieżąco monitorowany. </w:t>
      </w:r>
    </w:p>
    <w:p w14:paraId="6879E8BA" w14:textId="77777777" w:rsidR="00876AD1" w:rsidRPr="00876AD1" w:rsidRDefault="00876AD1" w:rsidP="0070161C">
      <w:pPr>
        <w:pStyle w:val="Tekstpodstawowy"/>
        <w:spacing w:before="2" w:line="288" w:lineRule="auto"/>
        <w:jc w:val="both"/>
        <w:rPr>
          <w:bCs/>
        </w:rPr>
      </w:pPr>
      <w:r w:rsidRPr="00876AD1">
        <w:rPr>
          <w:bCs/>
        </w:rPr>
        <w:t>W obszarze Komórki ds. Zgodności, zapewnione zostały odpowiednie zasoby kadrowe, niezbędne do skutecznego wykonywania zadań przez tę jednostkę w 2020 r. W obszarze działań Stanowiska Audytora Wewnętrznego, w opinii Zarządu Banku oraz Audytora Wewnętrzn</w:t>
      </w:r>
      <w:bookmarkStart w:id="0" w:name="_GoBack"/>
      <w:bookmarkEnd w:id="0"/>
      <w:r w:rsidRPr="00876AD1">
        <w:rPr>
          <w:bCs/>
        </w:rPr>
        <w:t xml:space="preserve">ego, zapewnione zostały odpowiednie zasoby kadrowe niezbędne do skutecznego wykonywania zadań przez tę jednostkę w 2020 roku (zatwierdzony przez Radę Nadzorczą Planu audytu na 2020 rok został zrealizowany). </w:t>
      </w:r>
    </w:p>
    <w:p w14:paraId="50276E37" w14:textId="77777777" w:rsidR="00876AD1" w:rsidRDefault="00876AD1" w:rsidP="0070161C">
      <w:pPr>
        <w:pStyle w:val="Tekstpodstawowy"/>
        <w:spacing w:before="2" w:line="288" w:lineRule="auto"/>
        <w:jc w:val="both"/>
        <w:rPr>
          <w:bCs/>
        </w:rPr>
      </w:pPr>
      <w:r w:rsidRPr="00876AD1">
        <w:rPr>
          <w:bCs/>
        </w:rPr>
        <w:t>Jednocześnie KNF wydał zalecenia poinspekcyjne w zakresie zasobów kadrowych w obszarze audytu wewnętrznego oraz podziału kompetencji członków Zarządu. W 2020 roku nie zidentyfikowano innych luk w zakresie niezależności i zasobów Komórki ds. Zgodności oraz Stanowiska Audytora Wewnętrznego.</w:t>
      </w:r>
    </w:p>
    <w:p w14:paraId="2DA7C040" w14:textId="08E0900F" w:rsidR="003F0DA1" w:rsidRPr="003F0DA1" w:rsidRDefault="00976347" w:rsidP="0070161C">
      <w:pPr>
        <w:pStyle w:val="Tekstpodstawowy"/>
        <w:spacing w:before="2" w:line="288" w:lineRule="auto"/>
        <w:jc w:val="both"/>
        <w:rPr>
          <w:bCs/>
        </w:rPr>
      </w:pPr>
      <w:r>
        <w:rPr>
          <w:bCs/>
        </w:rPr>
        <w:t>F</w:t>
      </w:r>
      <w:r w:rsidR="003F0DA1" w:rsidRPr="003F0DA1">
        <w:rPr>
          <w:bCs/>
        </w:rPr>
        <w:t>unkcjonujący w Banku system kontroli wewnętrznej wysta</w:t>
      </w:r>
      <w:r w:rsidR="003F0DA1">
        <w:rPr>
          <w:bCs/>
        </w:rPr>
        <w:t xml:space="preserve">rczająco skutecznie zabezpiecza </w:t>
      </w:r>
      <w:r w:rsidR="003F0DA1" w:rsidRPr="003F0DA1">
        <w:rPr>
          <w:bCs/>
        </w:rPr>
        <w:t>Bank przed nieoczekiwanymi zdarzeniami w zakresie udzielonego finan</w:t>
      </w:r>
      <w:r w:rsidR="003F0DA1">
        <w:rPr>
          <w:bCs/>
        </w:rPr>
        <w:t xml:space="preserve">sowania, ryzyka niefinansowego, </w:t>
      </w:r>
      <w:r w:rsidR="003F0DA1" w:rsidRPr="003F0DA1">
        <w:rPr>
          <w:bCs/>
        </w:rPr>
        <w:t>ryzyka rynkowego, płynności czy adekwatności kapitałowej.</w:t>
      </w:r>
    </w:p>
    <w:p w14:paraId="2011DC65" w14:textId="04C66CF4" w:rsidR="004B1BE2" w:rsidRDefault="004B1BE2" w:rsidP="0070161C">
      <w:pPr>
        <w:pStyle w:val="Tekstpodstawowy"/>
        <w:spacing w:before="2" w:line="288" w:lineRule="auto"/>
        <w:jc w:val="both"/>
        <w:rPr>
          <w:bCs/>
        </w:rPr>
      </w:pPr>
      <w:r w:rsidRPr="0010262B">
        <w:rPr>
          <w:bCs/>
        </w:rPr>
        <w:t>W</w:t>
      </w:r>
      <w:r>
        <w:rPr>
          <w:bCs/>
        </w:rPr>
        <w:t xml:space="preserve"> grudniu 20</w:t>
      </w:r>
      <w:r w:rsidR="00963FB0">
        <w:rPr>
          <w:bCs/>
        </w:rPr>
        <w:t>20</w:t>
      </w:r>
      <w:r w:rsidRPr="0010262B">
        <w:rPr>
          <w:bCs/>
        </w:rPr>
        <w:t xml:space="preserve"> roku łączny współczynnik kapitałowy ING Banku</w:t>
      </w:r>
      <w:r>
        <w:rPr>
          <w:bCs/>
        </w:rPr>
        <w:t xml:space="preserve"> Hipotecznego</w:t>
      </w:r>
      <w:r w:rsidRPr="0010262B">
        <w:rPr>
          <w:bCs/>
        </w:rPr>
        <w:t xml:space="preserve"> S.A. ukształtował się na poziomie </w:t>
      </w:r>
      <w:r w:rsidR="00963FB0">
        <w:rPr>
          <w:bCs/>
        </w:rPr>
        <w:t>30,60</w:t>
      </w:r>
      <w:r w:rsidRPr="0010262B">
        <w:rPr>
          <w:bCs/>
        </w:rPr>
        <w:t>%</w:t>
      </w:r>
      <w:r>
        <w:rPr>
          <w:bCs/>
        </w:rPr>
        <w:t xml:space="preserve">. </w:t>
      </w:r>
    </w:p>
    <w:p w14:paraId="6E002914" w14:textId="230F8E04" w:rsidR="003F0DA1" w:rsidRPr="003F0DA1" w:rsidRDefault="00E95B6C" w:rsidP="0070161C">
      <w:pPr>
        <w:pStyle w:val="Tekstpodstawowy"/>
        <w:spacing w:before="2" w:line="288" w:lineRule="auto"/>
        <w:jc w:val="both"/>
        <w:rPr>
          <w:bCs/>
        </w:rPr>
      </w:pPr>
      <w:r>
        <w:rPr>
          <w:bCs/>
        </w:rPr>
        <w:t>Z</w:t>
      </w:r>
      <w:r w:rsidR="003F0DA1" w:rsidRPr="003F0DA1">
        <w:rPr>
          <w:bCs/>
        </w:rPr>
        <w:t>daniem Rady Nadzorczej, uwaga Banku p</w:t>
      </w:r>
      <w:r w:rsidR="003F0DA1">
        <w:rPr>
          <w:bCs/>
        </w:rPr>
        <w:t xml:space="preserve">owinna nadal być skoncentrowana </w:t>
      </w:r>
      <w:r w:rsidR="003F0DA1" w:rsidRPr="003F0DA1">
        <w:rPr>
          <w:bCs/>
        </w:rPr>
        <w:t xml:space="preserve">na działaniach zwiększających </w:t>
      </w:r>
      <w:r>
        <w:rPr>
          <w:bCs/>
        </w:rPr>
        <w:t xml:space="preserve">skalę </w:t>
      </w:r>
      <w:r w:rsidR="003F0DA1" w:rsidRPr="003F0DA1">
        <w:rPr>
          <w:bCs/>
        </w:rPr>
        <w:t xml:space="preserve">jego </w:t>
      </w:r>
      <w:r w:rsidRPr="00E95B6C">
        <w:rPr>
          <w:bCs/>
        </w:rPr>
        <w:t>działalności przy zachowaniu odpowiedniego pozio</w:t>
      </w:r>
      <w:r>
        <w:rPr>
          <w:bCs/>
        </w:rPr>
        <w:t xml:space="preserve">mu </w:t>
      </w:r>
      <w:r w:rsidR="003F0DA1" w:rsidRPr="003F0DA1">
        <w:rPr>
          <w:bCs/>
        </w:rPr>
        <w:t>bezpieczeństw</w:t>
      </w:r>
      <w:r>
        <w:rPr>
          <w:bCs/>
        </w:rPr>
        <w:t>a, takich jak:</w:t>
      </w:r>
      <w:r w:rsidR="003F0DA1" w:rsidRPr="003F0DA1">
        <w:rPr>
          <w:bCs/>
        </w:rPr>
        <w:t xml:space="preserve"> </w:t>
      </w:r>
    </w:p>
    <w:p w14:paraId="5F6D8C89" w14:textId="606D32B2" w:rsidR="003F0DA1" w:rsidRPr="003F0DA1" w:rsidRDefault="003F0DA1" w:rsidP="0070161C">
      <w:pPr>
        <w:pStyle w:val="Tekstpodstawowy"/>
        <w:numPr>
          <w:ilvl w:val="0"/>
          <w:numId w:val="18"/>
        </w:numPr>
        <w:spacing w:before="2" w:line="288" w:lineRule="auto"/>
        <w:jc w:val="both"/>
        <w:rPr>
          <w:bCs/>
        </w:rPr>
      </w:pPr>
      <w:r w:rsidRPr="003F0DA1">
        <w:rPr>
          <w:bCs/>
        </w:rPr>
        <w:t>adekwatne zarządzanie kapitałem w celu zapewnienia bezpiec</w:t>
      </w:r>
      <w:r>
        <w:rPr>
          <w:bCs/>
        </w:rPr>
        <w:t xml:space="preserve">znego wzrostu </w:t>
      </w:r>
      <w:r w:rsidR="00E95B6C">
        <w:rPr>
          <w:bCs/>
        </w:rPr>
        <w:t>portfela kredytowego</w:t>
      </w:r>
      <w:r>
        <w:rPr>
          <w:bCs/>
        </w:rPr>
        <w:t xml:space="preserve">, </w:t>
      </w:r>
      <w:r w:rsidRPr="003F0DA1">
        <w:rPr>
          <w:bCs/>
        </w:rPr>
        <w:t>jak również spełnienia wszystkich obecnych i przyszłych wymogów regulacyjnych.</w:t>
      </w:r>
    </w:p>
    <w:p w14:paraId="1EA7906B" w14:textId="04B2F077" w:rsidR="003F0DA1" w:rsidRPr="003F0DA1" w:rsidRDefault="00E95B6C" w:rsidP="0070161C">
      <w:pPr>
        <w:pStyle w:val="Tekstpodstawowy"/>
        <w:numPr>
          <w:ilvl w:val="0"/>
          <w:numId w:val="18"/>
        </w:numPr>
        <w:spacing w:before="2" w:line="288" w:lineRule="auto"/>
        <w:jc w:val="both"/>
        <w:rPr>
          <w:bCs/>
        </w:rPr>
      </w:pPr>
      <w:r w:rsidRPr="00E95B6C">
        <w:rPr>
          <w:bCs/>
        </w:rPr>
        <w:t>zwiększenie wolumenu kredytów hipotecznych z uwzględnieniem zielonych aktywów, będących podstawą emisji hipotecznych listów zastawnych,</w:t>
      </w:r>
    </w:p>
    <w:p w14:paraId="5B869A87" w14:textId="5FBFBBDA" w:rsidR="00E95B6C" w:rsidRPr="00E95B6C" w:rsidRDefault="003F0DA1" w:rsidP="0070161C">
      <w:pPr>
        <w:pStyle w:val="Tekstpodstawowy"/>
        <w:numPr>
          <w:ilvl w:val="0"/>
          <w:numId w:val="18"/>
        </w:numPr>
        <w:spacing w:before="2" w:line="288" w:lineRule="auto"/>
        <w:jc w:val="both"/>
        <w:rPr>
          <w:bCs/>
        </w:rPr>
      </w:pPr>
      <w:r w:rsidRPr="003F0DA1">
        <w:rPr>
          <w:bCs/>
        </w:rPr>
        <w:t xml:space="preserve"> </w:t>
      </w:r>
      <w:r w:rsidR="00E95B6C" w:rsidRPr="00E95B6C">
        <w:rPr>
          <w:bCs/>
        </w:rPr>
        <w:t>pozyskanie finansowania w drodze kolejnej emisji hipotecznych listów zastawnych,</w:t>
      </w:r>
    </w:p>
    <w:p w14:paraId="55E30B74" w14:textId="35362FA5" w:rsidR="00E95B6C" w:rsidRPr="00E95B6C" w:rsidRDefault="00E95B6C" w:rsidP="0070161C">
      <w:pPr>
        <w:pStyle w:val="Tekstpodstawowy"/>
        <w:numPr>
          <w:ilvl w:val="0"/>
          <w:numId w:val="18"/>
        </w:numPr>
        <w:spacing w:before="2" w:line="288" w:lineRule="auto"/>
        <w:jc w:val="both"/>
        <w:rPr>
          <w:bCs/>
        </w:rPr>
      </w:pPr>
      <w:r w:rsidRPr="00E95B6C">
        <w:rPr>
          <w:bCs/>
        </w:rPr>
        <w:t>utrzymanie odpowiedniego poziomu płynnych aktywów,</w:t>
      </w:r>
    </w:p>
    <w:p w14:paraId="7296FE5E" w14:textId="6EAE431D" w:rsidR="003F0DA1" w:rsidRPr="003F0DA1" w:rsidRDefault="00E95B6C" w:rsidP="0070161C">
      <w:pPr>
        <w:pStyle w:val="Tekstpodstawowy"/>
        <w:numPr>
          <w:ilvl w:val="0"/>
          <w:numId w:val="18"/>
        </w:numPr>
        <w:spacing w:before="2" w:line="288" w:lineRule="auto"/>
        <w:jc w:val="both"/>
        <w:rPr>
          <w:bCs/>
        </w:rPr>
      </w:pPr>
      <w:r w:rsidRPr="00E95B6C">
        <w:rPr>
          <w:bCs/>
        </w:rPr>
        <w:lastRenderedPageBreak/>
        <w:t>dalsza poprawa efektywności kosztowej przy zachowaniu wysokiej jakości procesów poprzez optymalne wykorzystanie istniejących zasobów.</w:t>
      </w:r>
      <w:r>
        <w:rPr>
          <w:bCs/>
        </w:rPr>
        <w:t xml:space="preserve"> </w:t>
      </w:r>
    </w:p>
    <w:p w14:paraId="000C05BF" w14:textId="77777777" w:rsidR="00E95B6C" w:rsidRDefault="00E95B6C" w:rsidP="0070161C">
      <w:pPr>
        <w:pStyle w:val="Tekstpodstawowy"/>
        <w:spacing w:before="2" w:line="288" w:lineRule="auto"/>
        <w:jc w:val="both"/>
        <w:rPr>
          <w:bCs/>
        </w:rPr>
      </w:pPr>
    </w:p>
    <w:p w14:paraId="6CCC4239" w14:textId="77777777" w:rsidR="00E95B6C" w:rsidRPr="00E95B6C" w:rsidRDefault="00E95B6C" w:rsidP="0070161C">
      <w:pPr>
        <w:pStyle w:val="Tekstpodstawowy"/>
        <w:spacing w:before="2" w:line="288" w:lineRule="auto"/>
        <w:jc w:val="both"/>
        <w:rPr>
          <w:bCs/>
        </w:rPr>
      </w:pPr>
      <w:r w:rsidRPr="00E95B6C">
        <w:rPr>
          <w:bCs/>
        </w:rPr>
        <w:t>W ocenie Rady Nadzorczej, dotychczasowa strategia zwiększania skali działania, realizowana przez Bank</w:t>
      </w:r>
    </w:p>
    <w:p w14:paraId="73157060" w14:textId="77777777" w:rsidR="00E95B6C" w:rsidRPr="00E95B6C" w:rsidRDefault="00E95B6C" w:rsidP="0070161C">
      <w:pPr>
        <w:pStyle w:val="Tekstpodstawowy"/>
        <w:spacing w:before="2" w:line="288" w:lineRule="auto"/>
        <w:jc w:val="both"/>
        <w:rPr>
          <w:bCs/>
        </w:rPr>
      </w:pPr>
      <w:r w:rsidRPr="00E95B6C">
        <w:rPr>
          <w:bCs/>
        </w:rPr>
        <w:t>w ciągu ostatniego roku będzie prowadziła do realizacji zamierzonych wyników finansowych w kolejnych okresach sprawozdawczych.</w:t>
      </w:r>
    </w:p>
    <w:p w14:paraId="5E108F6B" w14:textId="30C2EC3C" w:rsidR="0010262B" w:rsidRPr="0010262B" w:rsidRDefault="007E2EE9" w:rsidP="0070161C">
      <w:pPr>
        <w:pStyle w:val="Tekstpodstawowy"/>
        <w:spacing w:before="2" w:line="288" w:lineRule="auto"/>
        <w:jc w:val="both"/>
        <w:rPr>
          <w:bCs/>
        </w:rPr>
      </w:pPr>
      <w:r>
        <w:rPr>
          <w:bCs/>
        </w:rPr>
        <w:t>W roku 2021</w:t>
      </w:r>
      <w:r w:rsidR="004B1BE2">
        <w:rPr>
          <w:bCs/>
        </w:rPr>
        <w:t xml:space="preserve"> Bank będzie kontynuował przyjętą strategię </w:t>
      </w:r>
      <w:r w:rsidR="00E95B6C" w:rsidRPr="00E95B6C">
        <w:rPr>
          <w:bCs/>
        </w:rPr>
        <w:t xml:space="preserve">przy </w:t>
      </w:r>
      <w:r w:rsidR="004B1BE2">
        <w:rPr>
          <w:bCs/>
        </w:rPr>
        <w:t xml:space="preserve">jednoczesnym </w:t>
      </w:r>
      <w:r w:rsidR="00E95B6C" w:rsidRPr="00E95B6C">
        <w:rPr>
          <w:bCs/>
        </w:rPr>
        <w:t xml:space="preserve">zachowaniu </w:t>
      </w:r>
      <w:r w:rsidR="004B1BE2">
        <w:rPr>
          <w:bCs/>
        </w:rPr>
        <w:t xml:space="preserve">adekwatnej bazy kapitałowej w stosunku do planowanego wzrostu </w:t>
      </w:r>
      <w:r w:rsidR="00DB347C">
        <w:rPr>
          <w:bCs/>
        </w:rPr>
        <w:t xml:space="preserve">wolumenu </w:t>
      </w:r>
      <w:r w:rsidR="004B1BE2">
        <w:rPr>
          <w:bCs/>
        </w:rPr>
        <w:t xml:space="preserve">kredytów hipotecznych. </w:t>
      </w:r>
    </w:p>
    <w:p w14:paraId="7E56E8E3" w14:textId="77777777" w:rsidR="0010262B" w:rsidRDefault="0010262B" w:rsidP="0070161C">
      <w:pPr>
        <w:pStyle w:val="Tekstpodstawowy"/>
        <w:spacing w:before="2" w:line="288" w:lineRule="auto"/>
        <w:jc w:val="center"/>
        <w:rPr>
          <w:b/>
          <w:bCs/>
          <w:u w:val="single"/>
        </w:rPr>
      </w:pPr>
    </w:p>
    <w:p w14:paraId="335E75DA" w14:textId="7EFE0CF8" w:rsidR="001609EE" w:rsidRDefault="001609EE" w:rsidP="0070161C">
      <w:pPr>
        <w:pStyle w:val="Tekstpodstawowy"/>
        <w:spacing w:line="288" w:lineRule="auto"/>
        <w:ind w:right="114"/>
        <w:jc w:val="both"/>
      </w:pPr>
    </w:p>
    <w:sectPr w:rsidR="001609EE">
      <w:headerReference w:type="default" r:id="rId7"/>
      <w:footerReference w:type="default" r:id="rId8"/>
      <w:pgSz w:w="11910" w:h="16840"/>
      <w:pgMar w:top="1660" w:right="1300" w:bottom="1060" w:left="1200" w:header="69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489C" w14:textId="77777777" w:rsidR="00212F7E" w:rsidRDefault="008B73E3">
      <w:r>
        <w:separator/>
      </w:r>
    </w:p>
  </w:endnote>
  <w:endnote w:type="continuationSeparator" w:id="0">
    <w:p w14:paraId="2F867B1A" w14:textId="77777777" w:rsidR="00212F7E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654A" w14:textId="2C189CED" w:rsidR="00612C2E" w:rsidRDefault="00AA06C3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28" behindDoc="1" locked="0" layoutInCell="1" allowOverlap="1" wp14:anchorId="5527BC48" wp14:editId="646FB250">
              <wp:simplePos x="0" y="0"/>
              <wp:positionH relativeFrom="page">
                <wp:posOffset>881380</wp:posOffset>
              </wp:positionH>
              <wp:positionV relativeFrom="page">
                <wp:posOffset>9965690</wp:posOffset>
              </wp:positionV>
              <wp:extent cx="5791835" cy="0"/>
              <wp:effectExtent l="5080" t="12065" r="1333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5E35" id="Line 2" o:spid="_x0000_s1026" style="position:absolute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4pt,784.7pt" to="525.45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EY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52" behindDoc="1" locked="0" layoutInCell="1" allowOverlap="1" wp14:anchorId="706EF8E9" wp14:editId="3301D428">
              <wp:simplePos x="0" y="0"/>
              <wp:positionH relativeFrom="page">
                <wp:posOffset>6521450</wp:posOffset>
              </wp:positionH>
              <wp:positionV relativeFrom="page">
                <wp:posOffset>9954260</wp:posOffset>
              </wp:positionV>
              <wp:extent cx="167005" cy="15557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04BA7" w14:textId="71AC808C" w:rsidR="00612C2E" w:rsidRDefault="008B73E3">
                          <w:pPr>
                            <w:spacing w:before="20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161C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EF8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3.5pt;margin-top:783.8pt;width:13.15pt;height:12.25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" filled="f" stroked="f">
              <v:textbox inset="0,0,0,0">
                <w:txbxContent>
                  <w:p w14:paraId="7F804BA7" w14:textId="71AC808C" w:rsidR="00612C2E" w:rsidRDefault="008B73E3">
                    <w:pPr>
                      <w:spacing w:before="20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0161C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2E18" w14:textId="77777777" w:rsidR="00212F7E" w:rsidRDefault="008B73E3">
      <w:r>
        <w:separator/>
      </w:r>
    </w:p>
  </w:footnote>
  <w:footnote w:type="continuationSeparator" w:id="0">
    <w:p w14:paraId="4CB39207" w14:textId="77777777" w:rsidR="00212F7E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2FA76" w14:textId="381CADDF" w:rsidR="00612C2E" w:rsidRDefault="008B73E3">
    <w:pPr>
      <w:pStyle w:val="Tekstpodstawowy"/>
      <w:spacing w:line="14" w:lineRule="auto"/>
    </w:pPr>
    <w:r>
      <w:rPr>
        <w:noProof/>
        <w:lang w:bidi="ar-SA"/>
      </w:rPr>
      <w:drawing>
        <wp:anchor distT="0" distB="0" distL="0" distR="0" simplePos="0" relativeHeight="268427855" behindDoc="1" locked="0" layoutInCell="1" allowOverlap="1" wp14:anchorId="76503471" wp14:editId="7DF8BFC5">
          <wp:simplePos x="0" y="0"/>
          <wp:positionH relativeFrom="page">
            <wp:posOffset>933450</wp:posOffset>
          </wp:positionH>
          <wp:positionV relativeFrom="page">
            <wp:posOffset>438149</wp:posOffset>
          </wp:positionV>
          <wp:extent cx="1381125" cy="34290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1125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06C3"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04" behindDoc="1" locked="0" layoutInCell="1" allowOverlap="1" wp14:anchorId="4AE1D7FC" wp14:editId="638D204A">
              <wp:simplePos x="0" y="0"/>
              <wp:positionH relativeFrom="page">
                <wp:posOffset>886460</wp:posOffset>
              </wp:positionH>
              <wp:positionV relativeFrom="page">
                <wp:posOffset>890905</wp:posOffset>
              </wp:positionV>
              <wp:extent cx="2050415" cy="186690"/>
              <wp:effectExtent l="635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041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FEBEB" w14:textId="6A1BE1DD" w:rsidR="00612C2E" w:rsidRDefault="00612C2E">
                          <w:pPr>
                            <w:spacing w:before="19"/>
                            <w:ind w:left="2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1D7F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70.15pt;width:161.45pt;height:14.7pt;z-index:-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wxrw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" filled="f" stroked="f">
              <v:textbox inset="0,0,0,0">
                <w:txbxContent>
                  <w:p w14:paraId="6C4FEBEB" w14:textId="6A1BE1DD" w:rsidR="00612C2E" w:rsidRDefault="00612C2E">
                    <w:pPr>
                      <w:spacing w:before="19"/>
                      <w:ind w:left="2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B30"/>
    <w:multiLevelType w:val="hybridMultilevel"/>
    <w:tmpl w:val="F35A8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F665C"/>
    <w:multiLevelType w:val="hybridMultilevel"/>
    <w:tmpl w:val="60061A88"/>
    <w:lvl w:ilvl="0" w:tplc="4002F922">
      <w:start w:val="1"/>
      <w:numFmt w:val="upperRoman"/>
      <w:lvlText w:val="%1."/>
      <w:lvlJc w:val="left"/>
      <w:pPr>
        <w:ind w:left="499" w:hanging="248"/>
        <w:jc w:val="right"/>
      </w:pPr>
      <w:rPr>
        <w:rFonts w:hint="default"/>
        <w:b/>
        <w:bCs/>
        <w:i w:val="0"/>
        <w:w w:val="99"/>
        <w:lang w:val="pl-PL" w:eastAsia="pl-PL" w:bidi="pl-PL"/>
      </w:rPr>
    </w:lvl>
    <w:lvl w:ilvl="1" w:tplc="9C864858">
      <w:numFmt w:val="bullet"/>
      <w:lvlText w:val="•"/>
      <w:lvlJc w:val="left"/>
      <w:pPr>
        <w:ind w:left="1390" w:hanging="248"/>
      </w:pPr>
      <w:rPr>
        <w:rFonts w:hint="default"/>
        <w:lang w:val="pl-PL" w:eastAsia="pl-PL" w:bidi="pl-PL"/>
      </w:rPr>
    </w:lvl>
    <w:lvl w:ilvl="2" w:tplc="C0400AFC">
      <w:numFmt w:val="bullet"/>
      <w:lvlText w:val="•"/>
      <w:lvlJc w:val="left"/>
      <w:pPr>
        <w:ind w:left="2281" w:hanging="248"/>
      </w:pPr>
      <w:rPr>
        <w:rFonts w:hint="default"/>
        <w:lang w:val="pl-PL" w:eastAsia="pl-PL" w:bidi="pl-PL"/>
      </w:rPr>
    </w:lvl>
    <w:lvl w:ilvl="3" w:tplc="D2C8D9F0">
      <w:numFmt w:val="bullet"/>
      <w:lvlText w:val="•"/>
      <w:lvlJc w:val="left"/>
      <w:pPr>
        <w:ind w:left="3171" w:hanging="248"/>
      </w:pPr>
      <w:rPr>
        <w:rFonts w:hint="default"/>
        <w:lang w:val="pl-PL" w:eastAsia="pl-PL" w:bidi="pl-PL"/>
      </w:rPr>
    </w:lvl>
    <w:lvl w:ilvl="4" w:tplc="8E8054F8">
      <w:numFmt w:val="bullet"/>
      <w:lvlText w:val="•"/>
      <w:lvlJc w:val="left"/>
      <w:pPr>
        <w:ind w:left="4062" w:hanging="248"/>
      </w:pPr>
      <w:rPr>
        <w:rFonts w:hint="default"/>
        <w:lang w:val="pl-PL" w:eastAsia="pl-PL" w:bidi="pl-PL"/>
      </w:rPr>
    </w:lvl>
    <w:lvl w:ilvl="5" w:tplc="15781902">
      <w:numFmt w:val="bullet"/>
      <w:lvlText w:val="•"/>
      <w:lvlJc w:val="left"/>
      <w:pPr>
        <w:ind w:left="4953" w:hanging="248"/>
      </w:pPr>
      <w:rPr>
        <w:rFonts w:hint="default"/>
        <w:lang w:val="pl-PL" w:eastAsia="pl-PL" w:bidi="pl-PL"/>
      </w:rPr>
    </w:lvl>
    <w:lvl w:ilvl="6" w:tplc="D57A2D88">
      <w:numFmt w:val="bullet"/>
      <w:lvlText w:val="•"/>
      <w:lvlJc w:val="left"/>
      <w:pPr>
        <w:ind w:left="5843" w:hanging="248"/>
      </w:pPr>
      <w:rPr>
        <w:rFonts w:hint="default"/>
        <w:lang w:val="pl-PL" w:eastAsia="pl-PL" w:bidi="pl-PL"/>
      </w:rPr>
    </w:lvl>
    <w:lvl w:ilvl="7" w:tplc="0F52395A">
      <w:numFmt w:val="bullet"/>
      <w:lvlText w:val="•"/>
      <w:lvlJc w:val="left"/>
      <w:pPr>
        <w:ind w:left="6734" w:hanging="248"/>
      </w:pPr>
      <w:rPr>
        <w:rFonts w:hint="default"/>
        <w:lang w:val="pl-PL" w:eastAsia="pl-PL" w:bidi="pl-PL"/>
      </w:rPr>
    </w:lvl>
    <w:lvl w:ilvl="8" w:tplc="A742F982">
      <w:numFmt w:val="bullet"/>
      <w:lvlText w:val="•"/>
      <w:lvlJc w:val="left"/>
      <w:pPr>
        <w:ind w:left="7625" w:hanging="248"/>
      </w:pPr>
      <w:rPr>
        <w:rFonts w:hint="default"/>
        <w:lang w:val="pl-PL" w:eastAsia="pl-PL" w:bidi="pl-PL"/>
      </w:rPr>
    </w:lvl>
  </w:abstractNum>
  <w:abstractNum w:abstractNumId="2" w15:restartNumberingAfterBreak="0">
    <w:nsid w:val="0E174C39"/>
    <w:multiLevelType w:val="hybridMultilevel"/>
    <w:tmpl w:val="EFF66C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B1584"/>
    <w:multiLevelType w:val="hybridMultilevel"/>
    <w:tmpl w:val="35322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22AD2"/>
    <w:multiLevelType w:val="hybridMultilevel"/>
    <w:tmpl w:val="E3109C90"/>
    <w:lvl w:ilvl="0" w:tplc="04150011">
      <w:start w:val="1"/>
      <w:numFmt w:val="decimal"/>
      <w:lvlText w:val="%1)"/>
      <w:lvlJc w:val="left"/>
      <w:pPr>
        <w:ind w:left="972" w:hanging="360"/>
      </w:p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29F95D96"/>
    <w:multiLevelType w:val="hybridMultilevel"/>
    <w:tmpl w:val="0046E300"/>
    <w:lvl w:ilvl="0" w:tplc="0415000F">
      <w:start w:val="1"/>
      <w:numFmt w:val="decimal"/>
      <w:lvlText w:val="%1.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2C561D79"/>
    <w:multiLevelType w:val="hybridMultilevel"/>
    <w:tmpl w:val="E1343B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3B695A77"/>
    <w:multiLevelType w:val="hybridMultilevel"/>
    <w:tmpl w:val="A34AC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74082"/>
    <w:multiLevelType w:val="hybridMultilevel"/>
    <w:tmpl w:val="100E24C4"/>
    <w:lvl w:ilvl="0" w:tplc="20E44F7E">
      <w:start w:val="1"/>
      <w:numFmt w:val="upperRoman"/>
      <w:lvlText w:val="%1."/>
      <w:lvlJc w:val="left"/>
      <w:pPr>
        <w:ind w:left="97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4BA53756"/>
    <w:multiLevelType w:val="hybridMultilevel"/>
    <w:tmpl w:val="F0A8E7AA"/>
    <w:lvl w:ilvl="0" w:tplc="0415000F">
      <w:start w:val="1"/>
      <w:numFmt w:val="decimal"/>
      <w:lvlText w:val="%1.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2BC4A03"/>
    <w:multiLevelType w:val="hybridMultilevel"/>
    <w:tmpl w:val="6D18A4EE"/>
    <w:lvl w:ilvl="0" w:tplc="0415000F">
      <w:start w:val="1"/>
      <w:numFmt w:val="decimal"/>
      <w:lvlText w:val="%1.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59375E2E"/>
    <w:multiLevelType w:val="hybridMultilevel"/>
    <w:tmpl w:val="9264B14A"/>
    <w:lvl w:ilvl="0" w:tplc="0415000F">
      <w:start w:val="1"/>
      <w:numFmt w:val="decimal"/>
      <w:lvlText w:val="%1.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 w15:restartNumberingAfterBreak="0">
    <w:nsid w:val="6B490BB2"/>
    <w:multiLevelType w:val="hybridMultilevel"/>
    <w:tmpl w:val="B75822AE"/>
    <w:lvl w:ilvl="0" w:tplc="0415000F">
      <w:start w:val="1"/>
      <w:numFmt w:val="decimal"/>
      <w:lvlText w:val="%1."/>
      <w:lvlJc w:val="left"/>
      <w:pPr>
        <w:ind w:left="972" w:hanging="360"/>
      </w:p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 w15:restartNumberingAfterBreak="0">
    <w:nsid w:val="71535BE6"/>
    <w:multiLevelType w:val="hybridMultilevel"/>
    <w:tmpl w:val="B5D66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D4F44"/>
    <w:multiLevelType w:val="hybridMultilevel"/>
    <w:tmpl w:val="58C87828"/>
    <w:lvl w:ilvl="0" w:tplc="F154E12C">
      <w:start w:val="1"/>
      <w:numFmt w:val="decimal"/>
      <w:lvlText w:val="%1)"/>
      <w:lvlJc w:val="left"/>
      <w:pPr>
        <w:ind w:left="576" w:hanging="360"/>
      </w:pPr>
      <w:rPr>
        <w:rFonts w:ascii="ING Me" w:eastAsia="ING Me" w:hAnsi="ING Me" w:cs="ING Me" w:hint="default"/>
        <w:w w:val="99"/>
        <w:sz w:val="20"/>
        <w:szCs w:val="20"/>
        <w:lang w:val="pl-PL" w:eastAsia="pl-PL" w:bidi="pl-PL"/>
      </w:rPr>
    </w:lvl>
    <w:lvl w:ilvl="1" w:tplc="16342E10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8BE2C7E6">
      <w:numFmt w:val="bullet"/>
      <w:lvlText w:val="•"/>
      <w:lvlJc w:val="left"/>
      <w:pPr>
        <w:ind w:left="1880" w:hanging="360"/>
      </w:pPr>
      <w:rPr>
        <w:rFonts w:hint="default"/>
        <w:lang w:val="pl-PL" w:eastAsia="pl-PL" w:bidi="pl-PL"/>
      </w:rPr>
    </w:lvl>
    <w:lvl w:ilvl="3" w:tplc="788C20FC">
      <w:numFmt w:val="bullet"/>
      <w:lvlText w:val="•"/>
      <w:lvlJc w:val="left"/>
      <w:pPr>
        <w:ind w:left="2821" w:hanging="360"/>
      </w:pPr>
      <w:rPr>
        <w:rFonts w:hint="default"/>
        <w:lang w:val="pl-PL" w:eastAsia="pl-PL" w:bidi="pl-PL"/>
      </w:rPr>
    </w:lvl>
    <w:lvl w:ilvl="4" w:tplc="E3A0002C">
      <w:numFmt w:val="bullet"/>
      <w:lvlText w:val="•"/>
      <w:lvlJc w:val="left"/>
      <w:pPr>
        <w:ind w:left="3762" w:hanging="360"/>
      </w:pPr>
      <w:rPr>
        <w:rFonts w:hint="default"/>
        <w:lang w:val="pl-PL" w:eastAsia="pl-PL" w:bidi="pl-PL"/>
      </w:rPr>
    </w:lvl>
    <w:lvl w:ilvl="5" w:tplc="0A7C972A">
      <w:numFmt w:val="bullet"/>
      <w:lvlText w:val="•"/>
      <w:lvlJc w:val="left"/>
      <w:pPr>
        <w:ind w:left="4702" w:hanging="360"/>
      </w:pPr>
      <w:rPr>
        <w:rFonts w:hint="default"/>
        <w:lang w:val="pl-PL" w:eastAsia="pl-PL" w:bidi="pl-PL"/>
      </w:rPr>
    </w:lvl>
    <w:lvl w:ilvl="6" w:tplc="BC1619A8">
      <w:numFmt w:val="bullet"/>
      <w:lvlText w:val="•"/>
      <w:lvlJc w:val="left"/>
      <w:pPr>
        <w:ind w:left="5643" w:hanging="360"/>
      </w:pPr>
      <w:rPr>
        <w:rFonts w:hint="default"/>
        <w:lang w:val="pl-PL" w:eastAsia="pl-PL" w:bidi="pl-PL"/>
      </w:rPr>
    </w:lvl>
    <w:lvl w:ilvl="7" w:tplc="8C287718">
      <w:numFmt w:val="bullet"/>
      <w:lvlText w:val="•"/>
      <w:lvlJc w:val="left"/>
      <w:pPr>
        <w:ind w:left="6584" w:hanging="360"/>
      </w:pPr>
      <w:rPr>
        <w:rFonts w:hint="default"/>
        <w:lang w:val="pl-PL" w:eastAsia="pl-PL" w:bidi="pl-PL"/>
      </w:rPr>
    </w:lvl>
    <w:lvl w:ilvl="8" w:tplc="66681B34">
      <w:numFmt w:val="bullet"/>
      <w:lvlText w:val="•"/>
      <w:lvlJc w:val="left"/>
      <w:pPr>
        <w:ind w:left="7524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747E64B7"/>
    <w:multiLevelType w:val="hybridMultilevel"/>
    <w:tmpl w:val="83D4C9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83041A"/>
    <w:multiLevelType w:val="hybridMultilevel"/>
    <w:tmpl w:val="2EE2FFBA"/>
    <w:lvl w:ilvl="0" w:tplc="04150011">
      <w:start w:val="1"/>
      <w:numFmt w:val="decimal"/>
      <w:lvlText w:val="%1)"/>
      <w:lvlJc w:val="left"/>
      <w:pPr>
        <w:ind w:left="972" w:hanging="360"/>
      </w:p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7" w15:restartNumberingAfterBreak="0">
    <w:nsid w:val="7D1E3530"/>
    <w:multiLevelType w:val="hybridMultilevel"/>
    <w:tmpl w:val="66DEB9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12"/>
  </w:num>
  <w:num w:numId="10">
    <w:abstractNumId w:val="0"/>
  </w:num>
  <w:num w:numId="11">
    <w:abstractNumId w:val="11"/>
  </w:num>
  <w:num w:numId="12">
    <w:abstractNumId w:val="16"/>
  </w:num>
  <w:num w:numId="13">
    <w:abstractNumId w:val="10"/>
  </w:num>
  <w:num w:numId="14">
    <w:abstractNumId w:val="17"/>
  </w:num>
  <w:num w:numId="15">
    <w:abstractNumId w:val="7"/>
  </w:num>
  <w:num w:numId="16">
    <w:abstractNumId w:val="3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2E"/>
    <w:rsid w:val="00066AE9"/>
    <w:rsid w:val="000800B1"/>
    <w:rsid w:val="000B0458"/>
    <w:rsid w:val="000B32B4"/>
    <w:rsid w:val="0010262B"/>
    <w:rsid w:val="0011444E"/>
    <w:rsid w:val="00160413"/>
    <w:rsid w:val="001609EE"/>
    <w:rsid w:val="00197AE3"/>
    <w:rsid w:val="001B5533"/>
    <w:rsid w:val="00212F7E"/>
    <w:rsid w:val="002447D2"/>
    <w:rsid w:val="002D2A85"/>
    <w:rsid w:val="002E552A"/>
    <w:rsid w:val="00324EFB"/>
    <w:rsid w:val="00365039"/>
    <w:rsid w:val="00395B1F"/>
    <w:rsid w:val="003D3EFA"/>
    <w:rsid w:val="003F0DA1"/>
    <w:rsid w:val="004B1BE2"/>
    <w:rsid w:val="004B53C2"/>
    <w:rsid w:val="004F5856"/>
    <w:rsid w:val="00560432"/>
    <w:rsid w:val="00560E63"/>
    <w:rsid w:val="00571234"/>
    <w:rsid w:val="00574806"/>
    <w:rsid w:val="00585CF0"/>
    <w:rsid w:val="005A2E93"/>
    <w:rsid w:val="005B324B"/>
    <w:rsid w:val="005B4D0A"/>
    <w:rsid w:val="005E00FA"/>
    <w:rsid w:val="00612C2E"/>
    <w:rsid w:val="006343B2"/>
    <w:rsid w:val="006766F7"/>
    <w:rsid w:val="006944CA"/>
    <w:rsid w:val="00694776"/>
    <w:rsid w:val="0070161C"/>
    <w:rsid w:val="0071717D"/>
    <w:rsid w:val="00757B45"/>
    <w:rsid w:val="00784A8C"/>
    <w:rsid w:val="00793E4D"/>
    <w:rsid w:val="007E2EE9"/>
    <w:rsid w:val="007F2F1E"/>
    <w:rsid w:val="00842A2D"/>
    <w:rsid w:val="008579C1"/>
    <w:rsid w:val="00876AC7"/>
    <w:rsid w:val="00876AD1"/>
    <w:rsid w:val="008B73E3"/>
    <w:rsid w:val="008E7027"/>
    <w:rsid w:val="00904A51"/>
    <w:rsid w:val="009223BE"/>
    <w:rsid w:val="00963FB0"/>
    <w:rsid w:val="00965183"/>
    <w:rsid w:val="00976347"/>
    <w:rsid w:val="009C7651"/>
    <w:rsid w:val="009D0204"/>
    <w:rsid w:val="009E414F"/>
    <w:rsid w:val="009F2449"/>
    <w:rsid w:val="00A00D3A"/>
    <w:rsid w:val="00A6243B"/>
    <w:rsid w:val="00A75A05"/>
    <w:rsid w:val="00AA06C3"/>
    <w:rsid w:val="00B2062A"/>
    <w:rsid w:val="00B46582"/>
    <w:rsid w:val="00B72EA9"/>
    <w:rsid w:val="00BA725A"/>
    <w:rsid w:val="00BC272C"/>
    <w:rsid w:val="00C67F06"/>
    <w:rsid w:val="00C77D7D"/>
    <w:rsid w:val="00CA650F"/>
    <w:rsid w:val="00CE3D80"/>
    <w:rsid w:val="00DB347C"/>
    <w:rsid w:val="00E95B6C"/>
    <w:rsid w:val="00EC274A"/>
    <w:rsid w:val="00EC457A"/>
    <w:rsid w:val="00EE53D4"/>
    <w:rsid w:val="00EE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4BEEE"/>
  <w15:docId w15:val="{BE975C1C-5B42-49FE-B0C8-8D5E9ABE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42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2D"/>
    <w:rPr>
      <w:rFonts w:ascii="ING Me" w:eastAsia="ING Me" w:hAnsi="ING Me" w:cs="ING Me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A2D"/>
    <w:rPr>
      <w:rFonts w:ascii="ING Me" w:eastAsia="ING Me" w:hAnsi="ING Me" w:cs="ING Me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2D"/>
    <w:rPr>
      <w:rFonts w:ascii="Segoe UI" w:eastAsia="ING Me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9F244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26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62B"/>
    <w:rPr>
      <w:rFonts w:ascii="ING Me" w:eastAsia="ING Me" w:hAnsi="ING Me" w:cs="ING M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26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62B"/>
    <w:rPr>
      <w:rFonts w:ascii="ING Me" w:eastAsia="ING Me" w:hAnsi="ING Me" w:cs="ING M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1574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Kolenda, D. (Daria)</dc:creator>
  <cp:lastModifiedBy>Kolenda, D. (Daria)</cp:lastModifiedBy>
  <cp:revision>4</cp:revision>
  <dcterms:created xsi:type="dcterms:W3CDTF">2021-02-23T07:43:00Z</dcterms:created>
  <dcterms:modified xsi:type="dcterms:W3CDTF">2021-02-23T08:06:00Z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2019-03-11T00:00:00Z</vt:filetime>
  </property>
</Properties>
</file>