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79E934" w14:textId="77777777" w:rsidR="00612C2E" w:rsidRDefault="00612C2E">
      <w:pPr>
        <w:pStyle w:val="Tekstpodstawowy"/>
        <w:rPr>
          <w:rFonts w:ascii="Times New Roman"/>
        </w:rPr>
      </w:pPr>
    </w:p>
    <w:p w14:paraId="4AF456B1" w14:textId="77777777" w:rsidR="00612C2E" w:rsidRDefault="00612C2E">
      <w:pPr>
        <w:pStyle w:val="Tekstpodstawowy"/>
        <w:spacing w:before="7"/>
        <w:rPr>
          <w:rFonts w:ascii="Times New Roman"/>
          <w:sz w:val="19"/>
        </w:rPr>
      </w:pPr>
    </w:p>
    <w:p w14:paraId="1AAEA63C" w14:textId="77777777" w:rsidR="00612C2E" w:rsidRDefault="008B73E3">
      <w:pPr>
        <w:pStyle w:val="Tekstpodstawowy"/>
        <w:spacing w:before="1"/>
        <w:ind w:left="5831"/>
      </w:pPr>
      <w:r>
        <w:t>Załącznik do Uchwały Rady Nadzorczej</w:t>
      </w:r>
    </w:p>
    <w:p w14:paraId="392C0EC9" w14:textId="252D8FD7" w:rsidR="00612C2E" w:rsidRDefault="00BA725A" w:rsidP="008579C1">
      <w:pPr>
        <w:pStyle w:val="Tekstpodstawowy"/>
        <w:spacing w:before="38"/>
        <w:ind w:left="5760" w:firstLine="720"/>
      </w:pPr>
      <w:r>
        <w:t xml:space="preserve">z </w:t>
      </w:r>
      <w:r w:rsidRPr="00E665AB">
        <w:t xml:space="preserve">dnia </w:t>
      </w:r>
      <w:r w:rsidR="002159DA">
        <w:t>4 marca 2021</w:t>
      </w:r>
      <w:r w:rsidR="008B73E3" w:rsidRPr="00E665AB">
        <w:t xml:space="preserve"> r.</w:t>
      </w:r>
    </w:p>
    <w:p w14:paraId="6A3FF754" w14:textId="77777777" w:rsidR="00612C2E" w:rsidRDefault="00612C2E" w:rsidP="008579C1">
      <w:pPr>
        <w:pStyle w:val="Tekstpodstawowy"/>
        <w:rPr>
          <w:sz w:val="26"/>
        </w:rPr>
      </w:pPr>
    </w:p>
    <w:p w14:paraId="3C5B33A7" w14:textId="77777777" w:rsidR="00CE3D80" w:rsidRDefault="00CE3D80" w:rsidP="008579C1">
      <w:pPr>
        <w:pStyle w:val="Tekstpodstawowy"/>
        <w:rPr>
          <w:sz w:val="26"/>
        </w:rPr>
      </w:pPr>
    </w:p>
    <w:p w14:paraId="33004834" w14:textId="653F5C62" w:rsidR="00EE53D4" w:rsidRDefault="009F2449" w:rsidP="00EE53D4">
      <w:pPr>
        <w:pStyle w:val="Tekstpodstawowy"/>
        <w:spacing w:before="2"/>
        <w:jc w:val="center"/>
        <w:rPr>
          <w:b/>
          <w:bCs/>
          <w:u w:val="single"/>
        </w:rPr>
      </w:pPr>
      <w:r>
        <w:rPr>
          <w:b/>
          <w:bCs/>
          <w:u w:val="single"/>
        </w:rPr>
        <w:t>Ocena</w:t>
      </w:r>
      <w:r w:rsidR="00EE53D4" w:rsidRPr="00EE53D4">
        <w:rPr>
          <w:b/>
          <w:bCs/>
          <w:u w:val="single"/>
        </w:rPr>
        <w:t xml:space="preserve"> Rady Nadzorczej</w:t>
      </w:r>
      <w:r>
        <w:rPr>
          <w:b/>
          <w:bCs/>
          <w:u w:val="single"/>
        </w:rPr>
        <w:t xml:space="preserve"> stosowania w ING Banku Hipotecznym</w:t>
      </w:r>
      <w:r w:rsidR="00EE53D4" w:rsidRPr="00EE53D4">
        <w:rPr>
          <w:b/>
          <w:bCs/>
          <w:u w:val="single"/>
        </w:rPr>
        <w:t xml:space="preserve"> S.A. </w:t>
      </w:r>
    </w:p>
    <w:p w14:paraId="2CDEC1F1" w14:textId="22630E0B" w:rsidR="00612C2E" w:rsidRPr="009F2449" w:rsidRDefault="009F2449" w:rsidP="00EE53D4">
      <w:pPr>
        <w:pStyle w:val="Tekstpodstawowy"/>
        <w:spacing w:before="2"/>
        <w:jc w:val="center"/>
        <w:rPr>
          <w:b/>
          <w:bCs/>
          <w:i/>
          <w:u w:val="single"/>
        </w:rPr>
      </w:pPr>
      <w:r w:rsidRPr="009F2449">
        <w:rPr>
          <w:b/>
          <w:bCs/>
          <w:i/>
          <w:u w:val="single"/>
        </w:rPr>
        <w:t>Zasad ładu korporacyjnego dla instytucji nadzorowanych</w:t>
      </w:r>
    </w:p>
    <w:p w14:paraId="78C3063A" w14:textId="77777777" w:rsidR="00EE53D4" w:rsidRDefault="00EE53D4">
      <w:pPr>
        <w:pStyle w:val="Tekstpodstawowy"/>
        <w:spacing w:before="2"/>
        <w:rPr>
          <w:b/>
          <w:sz w:val="15"/>
        </w:rPr>
      </w:pPr>
    </w:p>
    <w:p w14:paraId="31F0D23A" w14:textId="77777777" w:rsidR="009F2449" w:rsidRDefault="009F2449" w:rsidP="009F2449">
      <w:pPr>
        <w:pStyle w:val="Tekstpodstawowy"/>
        <w:ind w:left="252"/>
      </w:pPr>
    </w:p>
    <w:p w14:paraId="6DAD3620" w14:textId="212B8A61" w:rsidR="00612C2E" w:rsidRDefault="009F2449" w:rsidP="00EE5F1E">
      <w:pPr>
        <w:pStyle w:val="Tekstpodstawowy"/>
        <w:ind w:left="252"/>
        <w:jc w:val="both"/>
      </w:pPr>
      <w:r w:rsidRPr="009F2449">
        <w:t>Uchwałą nr 218/2014 z dnia 22 lipca 2014 roku (Dz. Urz. KNF poz. 17) Komisja Nadzoru Finansowego przyjęła Zasady ładu korporacyjnego dla instytucji nadzorowanych (dalej: „Zasady”).</w:t>
      </w:r>
    </w:p>
    <w:p w14:paraId="1E686F33" w14:textId="0974E2B8" w:rsidR="009F2449" w:rsidRDefault="009F2449" w:rsidP="009F2449">
      <w:pPr>
        <w:pStyle w:val="Tekstpodstawowy"/>
        <w:ind w:left="252"/>
      </w:pPr>
    </w:p>
    <w:p w14:paraId="44FEB116" w14:textId="2549B3A3" w:rsidR="00426DDA" w:rsidRPr="0048190A" w:rsidRDefault="009F2449" w:rsidP="0048190A">
      <w:pPr>
        <w:ind w:left="252"/>
        <w:jc w:val="both"/>
        <w:rPr>
          <w:sz w:val="20"/>
          <w:szCs w:val="20"/>
        </w:rPr>
      </w:pPr>
      <w:r w:rsidRPr="0048190A">
        <w:rPr>
          <w:sz w:val="20"/>
          <w:szCs w:val="20"/>
        </w:rPr>
        <w:t>Zasady zostały przyjęte przez ING Bank Hipoteczny S.A. (dalej: „Bank”) w zakresie określonym</w:t>
      </w:r>
      <w:r w:rsidR="004B528D" w:rsidRPr="0048190A">
        <w:rPr>
          <w:sz w:val="20"/>
          <w:szCs w:val="20"/>
        </w:rPr>
        <w:t xml:space="preserve"> w</w:t>
      </w:r>
      <w:r w:rsidR="00D92C82">
        <w:rPr>
          <w:sz w:val="20"/>
          <w:szCs w:val="20"/>
        </w:rPr>
        <w:t> </w:t>
      </w:r>
      <w:r w:rsidRPr="0048190A">
        <w:rPr>
          <w:sz w:val="20"/>
          <w:szCs w:val="20"/>
        </w:rPr>
        <w:t xml:space="preserve">Oświadczeniu Zarządu Banku z </w:t>
      </w:r>
      <w:r w:rsidR="0027163C" w:rsidRPr="0048190A">
        <w:rPr>
          <w:sz w:val="20"/>
          <w:szCs w:val="20"/>
        </w:rPr>
        <w:t xml:space="preserve">dnia </w:t>
      </w:r>
      <w:r w:rsidRPr="0048190A">
        <w:rPr>
          <w:sz w:val="20"/>
          <w:szCs w:val="20"/>
        </w:rPr>
        <w:t xml:space="preserve">15 kwietnia 2019 roku, zamieszczonym na stronie internetowej Banku pod adresem: </w:t>
      </w:r>
      <w:r w:rsidR="00426DDA" w:rsidRPr="0048190A">
        <w:rPr>
          <w:rFonts w:cs="Segoe UI"/>
          <w:sz w:val="20"/>
          <w:szCs w:val="20"/>
        </w:rPr>
        <w:t>https://www.inghipoteczny.pl/inghipoteczny/o-nas</w:t>
      </w:r>
      <w:r w:rsidRPr="0048190A">
        <w:rPr>
          <w:sz w:val="20"/>
          <w:szCs w:val="20"/>
        </w:rPr>
        <w:t>.</w:t>
      </w:r>
    </w:p>
    <w:p w14:paraId="3685C0DC" w14:textId="29C27B04" w:rsidR="009F2449" w:rsidRDefault="009F2449" w:rsidP="009F2449">
      <w:pPr>
        <w:pStyle w:val="Tekstpodstawowy"/>
        <w:ind w:left="252"/>
      </w:pPr>
    </w:p>
    <w:p w14:paraId="24F61508" w14:textId="4CF9F54C" w:rsidR="009F2449" w:rsidRDefault="009F2449" w:rsidP="009F2449">
      <w:pPr>
        <w:pStyle w:val="Tekstpodstawowy"/>
        <w:ind w:left="252"/>
        <w:jc w:val="both"/>
      </w:pPr>
      <w:r w:rsidRPr="00DC3B83">
        <w:t xml:space="preserve">Projekt Oświadczenia Zarządu został uprzednio, w dniu </w:t>
      </w:r>
      <w:r w:rsidR="00DC3B83" w:rsidRPr="00DC3B83">
        <w:t>22</w:t>
      </w:r>
      <w:r w:rsidRPr="00DC3B83">
        <w:t xml:space="preserve"> </w:t>
      </w:r>
      <w:r w:rsidR="00DC3B83" w:rsidRPr="00DC3B83">
        <w:t>marca 2019</w:t>
      </w:r>
      <w:r w:rsidRPr="00DC3B83">
        <w:t xml:space="preserve"> roku, pozytywnie zaopiniowany przez Radę Nadzorczą, która również w tym samym dniu przyjęła do stosowania Zasady odnoszące się do funkcjonowania Rady Nadzorczej i jej członków.</w:t>
      </w:r>
    </w:p>
    <w:p w14:paraId="009D889A" w14:textId="18B17FD1" w:rsidR="009F2449" w:rsidRDefault="009F2449" w:rsidP="009F2449">
      <w:pPr>
        <w:pStyle w:val="Tekstpodstawowy"/>
        <w:ind w:left="252"/>
        <w:jc w:val="both"/>
      </w:pPr>
    </w:p>
    <w:p w14:paraId="7E7CD9D2" w14:textId="2C1A8458" w:rsidR="00DC3B83" w:rsidRDefault="00DC3B83" w:rsidP="009F2449">
      <w:pPr>
        <w:pStyle w:val="Tekstpodstawowy"/>
        <w:ind w:left="252"/>
        <w:jc w:val="both"/>
      </w:pPr>
      <w:r w:rsidRPr="00DC3B83">
        <w:t>Zgodnie z Oświadczeniem Zarządu wyłączon</w:t>
      </w:r>
      <w:r>
        <w:t>e zostały ze stosowania zasady określone w:</w:t>
      </w:r>
    </w:p>
    <w:p w14:paraId="20DD851D" w14:textId="08905E99" w:rsidR="00DC3B83" w:rsidRDefault="00DC3B83" w:rsidP="00DC3B83">
      <w:pPr>
        <w:pStyle w:val="Tekstpodstawowy"/>
        <w:numPr>
          <w:ilvl w:val="0"/>
          <w:numId w:val="4"/>
        </w:numPr>
        <w:jc w:val="both"/>
      </w:pPr>
      <w:r w:rsidRPr="00DC3B83">
        <w:t>§ 8 ust. 4 oraz § 9 ust. 6</w:t>
      </w:r>
      <w:r>
        <w:t>;</w:t>
      </w:r>
    </w:p>
    <w:p w14:paraId="2589C7BC" w14:textId="55E39893" w:rsidR="00DC3B83" w:rsidRDefault="00DC3B83" w:rsidP="00DC3B83">
      <w:pPr>
        <w:pStyle w:val="Tekstpodstawowy"/>
        <w:numPr>
          <w:ilvl w:val="0"/>
          <w:numId w:val="4"/>
        </w:numPr>
        <w:jc w:val="both"/>
      </w:pPr>
      <w:r w:rsidRPr="00DC3B83">
        <w:t>§ 28 ust. 3 oraz § 28 ust. 4</w:t>
      </w:r>
      <w:r>
        <w:t>;</w:t>
      </w:r>
    </w:p>
    <w:p w14:paraId="17612FCC" w14:textId="04E689CD" w:rsidR="00DC3B83" w:rsidRDefault="00DC3B83" w:rsidP="00DC3B83">
      <w:pPr>
        <w:pStyle w:val="Tekstpodstawowy"/>
        <w:numPr>
          <w:ilvl w:val="0"/>
          <w:numId w:val="4"/>
        </w:numPr>
        <w:jc w:val="both"/>
      </w:pPr>
      <w:r w:rsidRPr="00DC3B83">
        <w:t>§ 32 ust. 1 - § 34 oraz § 36 ust.1 i 2</w:t>
      </w:r>
      <w:r>
        <w:t>;</w:t>
      </w:r>
    </w:p>
    <w:p w14:paraId="1B414388" w14:textId="4D066EDB" w:rsidR="00DC3B83" w:rsidRDefault="00DC3B83" w:rsidP="00DC3B83">
      <w:pPr>
        <w:pStyle w:val="Tekstpodstawowy"/>
        <w:numPr>
          <w:ilvl w:val="0"/>
          <w:numId w:val="4"/>
        </w:numPr>
        <w:jc w:val="both"/>
      </w:pPr>
      <w:r w:rsidRPr="00DC3B83">
        <w:t>§ 49 ust. 4 oraz § 52 ust. 2</w:t>
      </w:r>
      <w:r>
        <w:t>;</w:t>
      </w:r>
    </w:p>
    <w:p w14:paraId="0AD7AFB6" w14:textId="404D27E1" w:rsidR="00DC3B83" w:rsidRDefault="00DC3B83" w:rsidP="00DC3B83">
      <w:pPr>
        <w:pStyle w:val="Tekstpodstawowy"/>
        <w:numPr>
          <w:ilvl w:val="0"/>
          <w:numId w:val="4"/>
        </w:numPr>
        <w:jc w:val="both"/>
      </w:pPr>
      <w:r>
        <w:t>Rozdział 9 Zasad.</w:t>
      </w:r>
    </w:p>
    <w:p w14:paraId="693ED980" w14:textId="77777777" w:rsidR="008013DC" w:rsidRDefault="008013DC" w:rsidP="00EC327B">
      <w:pPr>
        <w:pStyle w:val="Tekstpodstawowy"/>
        <w:ind w:left="252"/>
        <w:jc w:val="both"/>
      </w:pPr>
    </w:p>
    <w:p w14:paraId="6AFFB096" w14:textId="7F2C8031" w:rsidR="00EC327B" w:rsidRDefault="00EC327B" w:rsidP="00EC327B">
      <w:pPr>
        <w:pStyle w:val="Tekstpodstawowy"/>
        <w:ind w:left="252"/>
        <w:jc w:val="both"/>
      </w:pPr>
      <w:r>
        <w:t>Wyłącz</w:t>
      </w:r>
      <w:r w:rsidR="004B528D">
        <w:t>e</w:t>
      </w:r>
      <w:r>
        <w:t>nie stosowania ww. Zasad wynika głównie z faktu, że jedynym akcjonariuszem posiadającym 100 % akcji ING Banku Hipotecznego S.A. jest ING Bank Śląski S.A. jak również ING Bank Hipoteczny S.A. nie prowadzi sprzedaży nowych produktów.</w:t>
      </w:r>
    </w:p>
    <w:p w14:paraId="1015431D" w14:textId="0DC6396E" w:rsidR="00DC3B83" w:rsidRDefault="00DC3B83" w:rsidP="00DC3B83">
      <w:pPr>
        <w:pStyle w:val="Tekstpodstawowy"/>
        <w:jc w:val="both"/>
      </w:pPr>
    </w:p>
    <w:p w14:paraId="0895DB60" w14:textId="692685D0" w:rsidR="00DC3B83" w:rsidRDefault="00DC3B83" w:rsidP="00DC3B83">
      <w:pPr>
        <w:pStyle w:val="Tekstpodstawowy"/>
        <w:ind w:firstLine="252"/>
        <w:jc w:val="both"/>
      </w:pPr>
      <w:r>
        <w:t>Zasady przyjęte do częściowego stosowania w ING Banku Hipotecznym S.A.</w:t>
      </w:r>
      <w:r w:rsidR="00EC327B">
        <w:t>:</w:t>
      </w:r>
    </w:p>
    <w:p w14:paraId="05E878CC" w14:textId="719F7E7B" w:rsidR="00EC327B" w:rsidRPr="00EC327B" w:rsidRDefault="00EC327B" w:rsidP="00EC327B">
      <w:pPr>
        <w:pStyle w:val="Tekstpodstawowy"/>
        <w:numPr>
          <w:ilvl w:val="0"/>
          <w:numId w:val="5"/>
        </w:numPr>
        <w:jc w:val="both"/>
      </w:pPr>
      <w:r>
        <w:rPr>
          <w:sz w:val="21"/>
          <w:szCs w:val="21"/>
        </w:rPr>
        <w:t>§ 9 ust. 1;</w:t>
      </w:r>
    </w:p>
    <w:p w14:paraId="0EC42E72" w14:textId="422A3DA9" w:rsidR="00EC327B" w:rsidRPr="00EC327B" w:rsidRDefault="00EC327B" w:rsidP="00EC327B">
      <w:pPr>
        <w:pStyle w:val="Tekstpodstawowy"/>
        <w:numPr>
          <w:ilvl w:val="0"/>
          <w:numId w:val="5"/>
        </w:numPr>
        <w:jc w:val="both"/>
      </w:pPr>
      <w:r>
        <w:rPr>
          <w:sz w:val="21"/>
          <w:szCs w:val="21"/>
        </w:rPr>
        <w:t>§ 29 ust. 1 – 2;</w:t>
      </w:r>
    </w:p>
    <w:p w14:paraId="3353E57A" w14:textId="13C6516B" w:rsidR="00DC3B83" w:rsidRPr="00EC327B" w:rsidRDefault="00EC327B" w:rsidP="00EC327B">
      <w:pPr>
        <w:pStyle w:val="Tekstpodstawowy"/>
        <w:numPr>
          <w:ilvl w:val="0"/>
          <w:numId w:val="5"/>
        </w:numPr>
        <w:jc w:val="both"/>
      </w:pPr>
      <w:r>
        <w:rPr>
          <w:sz w:val="21"/>
          <w:szCs w:val="21"/>
        </w:rPr>
        <w:t>§ 35, § 37 oraz § 38 ust. 1 – 2.</w:t>
      </w:r>
    </w:p>
    <w:p w14:paraId="669BDF8B" w14:textId="77777777" w:rsidR="008013DC" w:rsidRDefault="008013DC" w:rsidP="00EC327B">
      <w:pPr>
        <w:pStyle w:val="Tekstpodstawowy"/>
        <w:ind w:left="252"/>
        <w:jc w:val="both"/>
        <w:rPr>
          <w:sz w:val="21"/>
          <w:szCs w:val="21"/>
        </w:rPr>
      </w:pPr>
    </w:p>
    <w:p w14:paraId="3A2E43A6" w14:textId="00AC21DE" w:rsidR="00EC327B" w:rsidRPr="00EC327B" w:rsidRDefault="00EC327B" w:rsidP="00EC327B">
      <w:pPr>
        <w:pStyle w:val="Tekstpodstawowy"/>
        <w:ind w:left="252"/>
        <w:jc w:val="both"/>
      </w:pPr>
      <w:r>
        <w:rPr>
          <w:sz w:val="21"/>
          <w:szCs w:val="21"/>
        </w:rPr>
        <w:t>Podobnie jak w przypadku wyłączenia stosowania Zasad, ich ograniczenie stosowania wynika</w:t>
      </w:r>
      <w:r w:rsidRPr="00EC327B">
        <w:t xml:space="preserve"> </w:t>
      </w:r>
      <w:r w:rsidR="00CF4510">
        <w:rPr>
          <w:sz w:val="21"/>
          <w:szCs w:val="21"/>
        </w:rPr>
        <w:t>z </w:t>
      </w:r>
      <w:r w:rsidRPr="00EC327B">
        <w:rPr>
          <w:sz w:val="21"/>
          <w:szCs w:val="21"/>
        </w:rPr>
        <w:t>faktu, że jedynym akcjonariuszem posiadającym 100 % akcji ING Banku Hipotecznego S.A. jest ING Bank Śląski S.A. jak również ING Bank Hipoteczny S.A. nie prowadzi sprzedaży nowych produktów.</w:t>
      </w:r>
      <w:r>
        <w:rPr>
          <w:sz w:val="21"/>
          <w:szCs w:val="21"/>
        </w:rPr>
        <w:t xml:space="preserve">  </w:t>
      </w:r>
    </w:p>
    <w:p w14:paraId="48D81864" w14:textId="54BBCE3B" w:rsidR="009F2449" w:rsidRPr="0011444E" w:rsidRDefault="009F2449" w:rsidP="009F2449">
      <w:pPr>
        <w:pStyle w:val="Tekstpodstawowy"/>
        <w:ind w:left="252"/>
        <w:jc w:val="both"/>
        <w:rPr>
          <w:highlight w:val="yellow"/>
        </w:rPr>
      </w:pPr>
    </w:p>
    <w:p w14:paraId="682F25F4" w14:textId="3B9FDF71" w:rsidR="00612C2E" w:rsidRDefault="00DC3B83" w:rsidP="009F2449">
      <w:pPr>
        <w:pStyle w:val="Tekstpodstawowy"/>
        <w:ind w:left="252"/>
        <w:jc w:val="both"/>
      </w:pPr>
      <w:r w:rsidRPr="00DC3B83">
        <w:t xml:space="preserve">Jednocześnie Uchwałą Nr </w:t>
      </w:r>
      <w:r w:rsidR="00A92F5F">
        <w:t>18</w:t>
      </w:r>
      <w:r w:rsidR="009F2449" w:rsidRPr="00DC3B83">
        <w:t xml:space="preserve"> z </w:t>
      </w:r>
      <w:r w:rsidR="0027163C">
        <w:t xml:space="preserve">dnia </w:t>
      </w:r>
      <w:r w:rsidRPr="00DC3B83">
        <w:t>3</w:t>
      </w:r>
      <w:r w:rsidR="009F2449" w:rsidRPr="00DC3B83">
        <w:t xml:space="preserve"> </w:t>
      </w:r>
      <w:r w:rsidRPr="00DC3B83">
        <w:t>kwietnia 2019</w:t>
      </w:r>
      <w:r w:rsidR="009F2449" w:rsidRPr="00DC3B83">
        <w:t xml:space="preserve"> roku Zwyczajne Walne Zgromadzenie Banku zaakceptowało Oświadczenie Zarządu Banku oraz zadeklarowało gotowość stosowania Zasad w części odnoszącej się do akcjonariuszy oraz do relacji Banku jako instytucji nadzorowanej z jego akcjonariuszami, na zasadach określonych w tej uchwale. Tekst uchwały dostępny jest na stronie internetowej Banku pod adresem: </w:t>
      </w:r>
      <w:hyperlink r:id="rId7" w:history="1">
        <w:r w:rsidR="009A5899" w:rsidRPr="006F54EA">
          <w:rPr>
            <w:rStyle w:val="Hipercze"/>
          </w:rPr>
          <w:t>https://www.inghipoteczny.pl/_fileserver/item/1100077</w:t>
        </w:r>
      </w:hyperlink>
    </w:p>
    <w:p w14:paraId="3CCA18A0" w14:textId="2796C452" w:rsidR="009F2449" w:rsidRDefault="009F2449" w:rsidP="009F2449">
      <w:pPr>
        <w:pStyle w:val="Tekstpodstawowy"/>
        <w:ind w:left="252"/>
        <w:jc w:val="both"/>
      </w:pPr>
    </w:p>
    <w:p w14:paraId="5E3B57D6" w14:textId="77777777" w:rsidR="0027163C" w:rsidRPr="003D73EE" w:rsidRDefault="0027163C" w:rsidP="0027163C">
      <w:pPr>
        <w:pStyle w:val="Tekstpodstawowy"/>
        <w:ind w:left="252"/>
        <w:jc w:val="both"/>
      </w:pPr>
      <w:r w:rsidRPr="003D73EE">
        <w:t xml:space="preserve">W ocenie Rady Nadzorczej, po przyjęciu Zasad do stosowania, Bank podjął adekwatne działania celem dostosowania do postanowień Zasad właściwych regulacji wewnętrznych oraz zapewnienie stosowania Zasad w bieżącej działalności Banku. </w:t>
      </w:r>
    </w:p>
    <w:p w14:paraId="50E1D3D8" w14:textId="6B312B28" w:rsidR="0027163C" w:rsidRDefault="0027163C" w:rsidP="0027163C">
      <w:pPr>
        <w:pStyle w:val="Tekstpodstawowy"/>
        <w:ind w:left="252"/>
        <w:jc w:val="both"/>
      </w:pPr>
      <w:r w:rsidRPr="003D73EE">
        <w:t>W wyniku niezależnego przeglądu stosowania Za</w:t>
      </w:r>
      <w:r w:rsidR="00D92C82" w:rsidRPr="003D73EE">
        <w:t>sad zakończonego w styczniu 2021</w:t>
      </w:r>
      <w:r w:rsidRPr="003D73EE">
        <w:t xml:space="preserve"> roku ustalono, że większość wymaganych działań dostosowawczych została zakończona w 2019</w:t>
      </w:r>
      <w:r w:rsidR="006B2032" w:rsidRPr="003D73EE">
        <w:t xml:space="preserve"> i 2020 roku. </w:t>
      </w:r>
      <w:r w:rsidR="00CF4510">
        <w:t>Nie </w:t>
      </w:r>
      <w:r w:rsidRPr="003D73EE">
        <w:t>s</w:t>
      </w:r>
      <w:r w:rsidR="006B2032" w:rsidRPr="003D73EE">
        <w:t>twierdzono naruszeń Zasad w 2020</w:t>
      </w:r>
      <w:r w:rsidRPr="003D73EE">
        <w:t xml:space="preserve"> roku.</w:t>
      </w:r>
      <w:r w:rsidRPr="00D4161B">
        <w:t xml:space="preserve"> </w:t>
      </w:r>
    </w:p>
    <w:p w14:paraId="0288DB6A" w14:textId="77777777" w:rsidR="0027163C" w:rsidRDefault="0027163C" w:rsidP="0027163C">
      <w:pPr>
        <w:pStyle w:val="Tekstpodstawowy"/>
        <w:ind w:left="252"/>
        <w:jc w:val="both"/>
      </w:pPr>
    </w:p>
    <w:p w14:paraId="57563218" w14:textId="35690D82" w:rsidR="0027163C" w:rsidRDefault="0027163C" w:rsidP="0027163C">
      <w:pPr>
        <w:pStyle w:val="Tekstpodstawowy"/>
        <w:ind w:left="252"/>
        <w:jc w:val="both"/>
      </w:pPr>
      <w:bookmarkStart w:id="0" w:name="_GoBack"/>
      <w:bookmarkEnd w:id="0"/>
      <w:r w:rsidRPr="00D4161B">
        <w:t>Organy Banku stosują Zasady, w szczególności odnoszące się do ich funkcjonowania i wzajemnych relacji. Zasady są również stosowane przez pracowników Banku i mają odzwierciedlenie w bieżącej działalności Banku. Dotyczy to Zasad odnoszących się do wewnętrznych relacji, organizacji Banku jego kluczowych systemów i funkcji, a także Zasad odnoszącyc</w:t>
      </w:r>
      <w:r>
        <w:t>h się do relacji zewnętrznych z </w:t>
      </w:r>
      <w:r w:rsidRPr="00D4161B">
        <w:t>akcjonariuszami, klientami Banku i innymi zainteresowanymi podmiotami.</w:t>
      </w:r>
      <w:r>
        <w:t xml:space="preserve"> </w:t>
      </w:r>
    </w:p>
    <w:p w14:paraId="67EC1C9A" w14:textId="1EB045AC" w:rsidR="0027163C" w:rsidRDefault="0027163C" w:rsidP="00E665AB">
      <w:pPr>
        <w:pStyle w:val="Tekstpodstawowy"/>
        <w:jc w:val="both"/>
      </w:pPr>
    </w:p>
    <w:p w14:paraId="335E75DA" w14:textId="67759293" w:rsidR="001609EE" w:rsidRDefault="0027163C" w:rsidP="006B2032">
      <w:pPr>
        <w:pStyle w:val="Tekstpodstawowy"/>
        <w:ind w:left="252"/>
        <w:jc w:val="both"/>
      </w:pPr>
      <w:r w:rsidRPr="003D73EE">
        <w:t xml:space="preserve">W związku z powyższym </w:t>
      </w:r>
      <w:r w:rsidR="002159DA" w:rsidRPr="003D73EE">
        <w:t>Rada Nadzorcza ocenia, że w 2020</w:t>
      </w:r>
      <w:r w:rsidRPr="003D73EE">
        <w:t xml:space="preserve"> roku Bank w sposób prawidłowy </w:t>
      </w:r>
      <w:r w:rsidR="006B2032" w:rsidRPr="003D73EE">
        <w:t>stosuje</w:t>
      </w:r>
      <w:r w:rsidRPr="003D73EE">
        <w:t xml:space="preserve"> </w:t>
      </w:r>
      <w:r w:rsidRPr="00CF4510">
        <w:rPr>
          <w:i/>
        </w:rPr>
        <w:t>Zasad</w:t>
      </w:r>
      <w:r w:rsidR="006B2032" w:rsidRPr="00CF4510">
        <w:rPr>
          <w:i/>
        </w:rPr>
        <w:t>y</w:t>
      </w:r>
      <w:r w:rsidRPr="00CF4510">
        <w:rPr>
          <w:i/>
        </w:rPr>
        <w:t xml:space="preserve"> ładu korporacyjnego dla instytucji nadzorowanych</w:t>
      </w:r>
      <w:r w:rsidRPr="003D73EE">
        <w:t>.</w:t>
      </w:r>
    </w:p>
    <w:sectPr w:rsidR="001609EE">
      <w:headerReference w:type="default" r:id="rId8"/>
      <w:footerReference w:type="default" r:id="rId9"/>
      <w:pgSz w:w="11910" w:h="16840"/>
      <w:pgMar w:top="1660" w:right="1300" w:bottom="1060" w:left="1200" w:header="690" w:footer="87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D4489C" w14:textId="77777777" w:rsidR="00212F7E" w:rsidRDefault="008B73E3">
      <w:r>
        <w:separator/>
      </w:r>
    </w:p>
  </w:endnote>
  <w:endnote w:type="continuationSeparator" w:id="0">
    <w:p w14:paraId="2F867B1A" w14:textId="77777777" w:rsidR="00212F7E" w:rsidRDefault="008B7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G Me">
    <w:altName w:val="ING Me"/>
    <w:panose1 w:val="02000506040000020004"/>
    <w:charset w:val="00"/>
    <w:family w:val="modern"/>
    <w:notTrueType/>
    <w:pitch w:val="variable"/>
    <w:sig w:usb0="A10002AF" w:usb1="5000607A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5654A" w14:textId="2C189CED" w:rsidR="00612C2E" w:rsidRDefault="00AA06C3">
    <w:pPr>
      <w:pStyle w:val="Tekstpodstawowy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8928" behindDoc="1" locked="0" layoutInCell="1" allowOverlap="1" wp14:anchorId="5527BC48" wp14:editId="646FB250">
              <wp:simplePos x="0" y="0"/>
              <wp:positionH relativeFrom="page">
                <wp:posOffset>881380</wp:posOffset>
              </wp:positionH>
              <wp:positionV relativeFrom="page">
                <wp:posOffset>9965690</wp:posOffset>
              </wp:positionV>
              <wp:extent cx="5791835" cy="0"/>
              <wp:effectExtent l="5080" t="12065" r="13335" b="698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91835" cy="0"/>
                      </a:xfrm>
                      <a:prstGeom prst="line">
                        <a:avLst/>
                      </a:prstGeom>
                      <a:noFill/>
                      <a:ln w="6096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065E35" id="Line 2" o:spid="_x0000_s1026" style="position:absolute;z-index:-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9.4pt,784.7pt" to="525.45pt,78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DEYEw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" strokeweight=".48pt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8952" behindDoc="1" locked="0" layoutInCell="1" allowOverlap="1" wp14:anchorId="706EF8E9" wp14:editId="3301D428">
              <wp:simplePos x="0" y="0"/>
              <wp:positionH relativeFrom="page">
                <wp:posOffset>6521450</wp:posOffset>
              </wp:positionH>
              <wp:positionV relativeFrom="page">
                <wp:posOffset>9954260</wp:posOffset>
              </wp:positionV>
              <wp:extent cx="167005" cy="155575"/>
              <wp:effectExtent l="0" t="635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7005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804BA7" w14:textId="7BCFF75B" w:rsidR="00612C2E" w:rsidRDefault="008B73E3">
                          <w:pPr>
                            <w:spacing w:before="20"/>
                            <w:ind w:left="40"/>
                            <w:rPr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013DC">
                            <w:rPr>
                              <w:noProof/>
                              <w:sz w:val="16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6EF8E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3.5pt;margin-top:783.8pt;width:13.15pt;height:12.25pt;z-index:-7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" filled="f" stroked="f">
              <v:textbox inset="0,0,0,0">
                <w:txbxContent>
                  <w:p w14:paraId="7F804BA7" w14:textId="7BCFF75B" w:rsidR="00612C2E" w:rsidRDefault="008B73E3">
                    <w:pPr>
                      <w:spacing w:before="20"/>
                      <w:ind w:left="40"/>
                      <w:rPr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013DC">
                      <w:rPr>
                        <w:noProof/>
                        <w:sz w:val="16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202E18" w14:textId="77777777" w:rsidR="00212F7E" w:rsidRDefault="008B73E3">
      <w:r>
        <w:separator/>
      </w:r>
    </w:p>
  </w:footnote>
  <w:footnote w:type="continuationSeparator" w:id="0">
    <w:p w14:paraId="4CB39207" w14:textId="77777777" w:rsidR="00212F7E" w:rsidRDefault="008B7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F2FA76" w14:textId="381CADDF" w:rsidR="00612C2E" w:rsidRDefault="008B73E3">
    <w:pPr>
      <w:pStyle w:val="Tekstpodstawowy"/>
      <w:spacing w:line="14" w:lineRule="auto"/>
    </w:pPr>
    <w:r>
      <w:rPr>
        <w:noProof/>
        <w:lang w:bidi="ar-SA"/>
      </w:rPr>
      <w:drawing>
        <wp:anchor distT="0" distB="0" distL="0" distR="0" simplePos="0" relativeHeight="268427855" behindDoc="1" locked="0" layoutInCell="1" allowOverlap="1" wp14:anchorId="76503471" wp14:editId="7DF8BFC5">
          <wp:simplePos x="0" y="0"/>
          <wp:positionH relativeFrom="page">
            <wp:posOffset>933450</wp:posOffset>
          </wp:positionH>
          <wp:positionV relativeFrom="page">
            <wp:posOffset>438149</wp:posOffset>
          </wp:positionV>
          <wp:extent cx="1381125" cy="342900"/>
          <wp:effectExtent l="0" t="0" r="0" b="0"/>
          <wp:wrapNone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81125" cy="342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A06C3">
      <w:rPr>
        <w:noProof/>
        <w:lang w:bidi="ar-SA"/>
      </w:rPr>
      <mc:AlternateContent>
        <mc:Choice Requires="wps">
          <w:drawing>
            <wp:anchor distT="0" distB="0" distL="114300" distR="114300" simplePos="0" relativeHeight="503308904" behindDoc="1" locked="0" layoutInCell="1" allowOverlap="1" wp14:anchorId="4AE1D7FC" wp14:editId="638D204A">
              <wp:simplePos x="0" y="0"/>
              <wp:positionH relativeFrom="page">
                <wp:posOffset>886460</wp:posOffset>
              </wp:positionH>
              <wp:positionV relativeFrom="page">
                <wp:posOffset>890905</wp:posOffset>
              </wp:positionV>
              <wp:extent cx="2050415" cy="186690"/>
              <wp:effectExtent l="635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0415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4FEBEB" w14:textId="77777777" w:rsidR="00612C2E" w:rsidRDefault="008B73E3">
                          <w:pPr>
                            <w:spacing w:before="19"/>
                            <w:ind w:left="20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 xml:space="preserve">Rada Nadzorcza / </w:t>
                          </w:r>
                          <w:proofErr w:type="spellStart"/>
                          <w:r>
                            <w:rPr>
                              <w:i/>
                              <w:sz w:val="20"/>
                            </w:rPr>
                            <w:t>Supervisory</w:t>
                          </w:r>
                          <w:proofErr w:type="spellEnd"/>
                          <w:r>
                            <w:rPr>
                              <w:i/>
                              <w:sz w:val="20"/>
                            </w:rPr>
                            <w:t xml:space="preserve"> Board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E1D7F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69.8pt;margin-top:70.15pt;width:161.45pt;height:14.7pt;z-index:-7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" filled="f" stroked="f">
              <v:textbox inset="0,0,0,0">
                <w:txbxContent>
                  <w:p w14:paraId="6C4FEBEB" w14:textId="77777777" w:rsidR="00612C2E" w:rsidRDefault="008B73E3">
                    <w:pPr>
                      <w:spacing w:before="19"/>
                      <w:ind w:left="20"/>
                      <w:rPr>
                        <w:i/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Rada Nadzorcza / </w:t>
                    </w:r>
                    <w:proofErr w:type="spellStart"/>
                    <w:r>
                      <w:rPr>
                        <w:i/>
                        <w:sz w:val="20"/>
                      </w:rPr>
                      <w:t>Supervisory</w:t>
                    </w:r>
                    <w:proofErr w:type="spellEnd"/>
                    <w:r>
                      <w:rPr>
                        <w:i/>
                        <w:sz w:val="20"/>
                      </w:rPr>
                      <w:t xml:space="preserve"> Board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F665C"/>
    <w:multiLevelType w:val="hybridMultilevel"/>
    <w:tmpl w:val="60061A88"/>
    <w:lvl w:ilvl="0" w:tplc="4002F922">
      <w:start w:val="1"/>
      <w:numFmt w:val="upperRoman"/>
      <w:lvlText w:val="%1."/>
      <w:lvlJc w:val="left"/>
      <w:pPr>
        <w:ind w:left="499" w:hanging="248"/>
        <w:jc w:val="right"/>
      </w:pPr>
      <w:rPr>
        <w:rFonts w:hint="default"/>
        <w:b/>
        <w:bCs/>
        <w:i w:val="0"/>
        <w:w w:val="99"/>
        <w:lang w:val="pl-PL" w:eastAsia="pl-PL" w:bidi="pl-PL"/>
      </w:rPr>
    </w:lvl>
    <w:lvl w:ilvl="1" w:tplc="9C864858">
      <w:numFmt w:val="bullet"/>
      <w:lvlText w:val="•"/>
      <w:lvlJc w:val="left"/>
      <w:pPr>
        <w:ind w:left="1390" w:hanging="248"/>
      </w:pPr>
      <w:rPr>
        <w:rFonts w:hint="default"/>
        <w:lang w:val="pl-PL" w:eastAsia="pl-PL" w:bidi="pl-PL"/>
      </w:rPr>
    </w:lvl>
    <w:lvl w:ilvl="2" w:tplc="C0400AFC">
      <w:numFmt w:val="bullet"/>
      <w:lvlText w:val="•"/>
      <w:lvlJc w:val="left"/>
      <w:pPr>
        <w:ind w:left="2281" w:hanging="248"/>
      </w:pPr>
      <w:rPr>
        <w:rFonts w:hint="default"/>
        <w:lang w:val="pl-PL" w:eastAsia="pl-PL" w:bidi="pl-PL"/>
      </w:rPr>
    </w:lvl>
    <w:lvl w:ilvl="3" w:tplc="D2C8D9F0">
      <w:numFmt w:val="bullet"/>
      <w:lvlText w:val="•"/>
      <w:lvlJc w:val="left"/>
      <w:pPr>
        <w:ind w:left="3171" w:hanging="248"/>
      </w:pPr>
      <w:rPr>
        <w:rFonts w:hint="default"/>
        <w:lang w:val="pl-PL" w:eastAsia="pl-PL" w:bidi="pl-PL"/>
      </w:rPr>
    </w:lvl>
    <w:lvl w:ilvl="4" w:tplc="8E8054F8">
      <w:numFmt w:val="bullet"/>
      <w:lvlText w:val="•"/>
      <w:lvlJc w:val="left"/>
      <w:pPr>
        <w:ind w:left="4062" w:hanging="248"/>
      </w:pPr>
      <w:rPr>
        <w:rFonts w:hint="default"/>
        <w:lang w:val="pl-PL" w:eastAsia="pl-PL" w:bidi="pl-PL"/>
      </w:rPr>
    </w:lvl>
    <w:lvl w:ilvl="5" w:tplc="15781902">
      <w:numFmt w:val="bullet"/>
      <w:lvlText w:val="•"/>
      <w:lvlJc w:val="left"/>
      <w:pPr>
        <w:ind w:left="4953" w:hanging="248"/>
      </w:pPr>
      <w:rPr>
        <w:rFonts w:hint="default"/>
        <w:lang w:val="pl-PL" w:eastAsia="pl-PL" w:bidi="pl-PL"/>
      </w:rPr>
    </w:lvl>
    <w:lvl w:ilvl="6" w:tplc="D57A2D88">
      <w:numFmt w:val="bullet"/>
      <w:lvlText w:val="•"/>
      <w:lvlJc w:val="left"/>
      <w:pPr>
        <w:ind w:left="5843" w:hanging="248"/>
      </w:pPr>
      <w:rPr>
        <w:rFonts w:hint="default"/>
        <w:lang w:val="pl-PL" w:eastAsia="pl-PL" w:bidi="pl-PL"/>
      </w:rPr>
    </w:lvl>
    <w:lvl w:ilvl="7" w:tplc="0F52395A">
      <w:numFmt w:val="bullet"/>
      <w:lvlText w:val="•"/>
      <w:lvlJc w:val="left"/>
      <w:pPr>
        <w:ind w:left="6734" w:hanging="248"/>
      </w:pPr>
      <w:rPr>
        <w:rFonts w:hint="default"/>
        <w:lang w:val="pl-PL" w:eastAsia="pl-PL" w:bidi="pl-PL"/>
      </w:rPr>
    </w:lvl>
    <w:lvl w:ilvl="8" w:tplc="A742F982">
      <w:numFmt w:val="bullet"/>
      <w:lvlText w:val="•"/>
      <w:lvlJc w:val="left"/>
      <w:pPr>
        <w:ind w:left="7625" w:hanging="248"/>
      </w:pPr>
      <w:rPr>
        <w:rFonts w:hint="default"/>
        <w:lang w:val="pl-PL" w:eastAsia="pl-PL" w:bidi="pl-PL"/>
      </w:rPr>
    </w:lvl>
  </w:abstractNum>
  <w:abstractNum w:abstractNumId="1" w15:restartNumberingAfterBreak="0">
    <w:nsid w:val="2C561D79"/>
    <w:multiLevelType w:val="hybridMultilevel"/>
    <w:tmpl w:val="E1343B3E"/>
    <w:lvl w:ilvl="0" w:tplc="0415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" w15:restartNumberingAfterBreak="0">
    <w:nsid w:val="2CD3544D"/>
    <w:multiLevelType w:val="hybridMultilevel"/>
    <w:tmpl w:val="A45E4330"/>
    <w:lvl w:ilvl="0" w:tplc="0415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3" w15:restartNumberingAfterBreak="0">
    <w:nsid w:val="4A4C1333"/>
    <w:multiLevelType w:val="hybridMultilevel"/>
    <w:tmpl w:val="A32A21E4"/>
    <w:lvl w:ilvl="0" w:tplc="0415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4" w15:restartNumberingAfterBreak="0">
    <w:nsid w:val="715D4F44"/>
    <w:multiLevelType w:val="hybridMultilevel"/>
    <w:tmpl w:val="58C87828"/>
    <w:lvl w:ilvl="0" w:tplc="F154E12C">
      <w:start w:val="1"/>
      <w:numFmt w:val="decimal"/>
      <w:lvlText w:val="%1)"/>
      <w:lvlJc w:val="left"/>
      <w:pPr>
        <w:ind w:left="576" w:hanging="360"/>
      </w:pPr>
      <w:rPr>
        <w:rFonts w:ascii="ING Me" w:eastAsia="ING Me" w:hAnsi="ING Me" w:cs="ING Me" w:hint="default"/>
        <w:w w:val="99"/>
        <w:sz w:val="20"/>
        <w:szCs w:val="20"/>
        <w:lang w:val="pl-PL" w:eastAsia="pl-PL" w:bidi="pl-PL"/>
      </w:rPr>
    </w:lvl>
    <w:lvl w:ilvl="1" w:tplc="16342E10"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pl-PL" w:bidi="pl-PL"/>
      </w:rPr>
    </w:lvl>
    <w:lvl w:ilvl="2" w:tplc="8BE2C7E6">
      <w:numFmt w:val="bullet"/>
      <w:lvlText w:val="•"/>
      <w:lvlJc w:val="left"/>
      <w:pPr>
        <w:ind w:left="1880" w:hanging="360"/>
      </w:pPr>
      <w:rPr>
        <w:rFonts w:hint="default"/>
        <w:lang w:val="pl-PL" w:eastAsia="pl-PL" w:bidi="pl-PL"/>
      </w:rPr>
    </w:lvl>
    <w:lvl w:ilvl="3" w:tplc="788C20FC">
      <w:numFmt w:val="bullet"/>
      <w:lvlText w:val="•"/>
      <w:lvlJc w:val="left"/>
      <w:pPr>
        <w:ind w:left="2821" w:hanging="360"/>
      </w:pPr>
      <w:rPr>
        <w:rFonts w:hint="default"/>
        <w:lang w:val="pl-PL" w:eastAsia="pl-PL" w:bidi="pl-PL"/>
      </w:rPr>
    </w:lvl>
    <w:lvl w:ilvl="4" w:tplc="E3A0002C">
      <w:numFmt w:val="bullet"/>
      <w:lvlText w:val="•"/>
      <w:lvlJc w:val="left"/>
      <w:pPr>
        <w:ind w:left="3762" w:hanging="360"/>
      </w:pPr>
      <w:rPr>
        <w:rFonts w:hint="default"/>
        <w:lang w:val="pl-PL" w:eastAsia="pl-PL" w:bidi="pl-PL"/>
      </w:rPr>
    </w:lvl>
    <w:lvl w:ilvl="5" w:tplc="0A7C972A">
      <w:numFmt w:val="bullet"/>
      <w:lvlText w:val="•"/>
      <w:lvlJc w:val="left"/>
      <w:pPr>
        <w:ind w:left="4702" w:hanging="360"/>
      </w:pPr>
      <w:rPr>
        <w:rFonts w:hint="default"/>
        <w:lang w:val="pl-PL" w:eastAsia="pl-PL" w:bidi="pl-PL"/>
      </w:rPr>
    </w:lvl>
    <w:lvl w:ilvl="6" w:tplc="BC1619A8">
      <w:numFmt w:val="bullet"/>
      <w:lvlText w:val="•"/>
      <w:lvlJc w:val="left"/>
      <w:pPr>
        <w:ind w:left="5643" w:hanging="360"/>
      </w:pPr>
      <w:rPr>
        <w:rFonts w:hint="default"/>
        <w:lang w:val="pl-PL" w:eastAsia="pl-PL" w:bidi="pl-PL"/>
      </w:rPr>
    </w:lvl>
    <w:lvl w:ilvl="7" w:tplc="8C287718">
      <w:numFmt w:val="bullet"/>
      <w:lvlText w:val="•"/>
      <w:lvlJc w:val="left"/>
      <w:pPr>
        <w:ind w:left="6584" w:hanging="360"/>
      </w:pPr>
      <w:rPr>
        <w:rFonts w:hint="default"/>
        <w:lang w:val="pl-PL" w:eastAsia="pl-PL" w:bidi="pl-PL"/>
      </w:rPr>
    </w:lvl>
    <w:lvl w:ilvl="8" w:tplc="66681B34">
      <w:numFmt w:val="bullet"/>
      <w:lvlText w:val="•"/>
      <w:lvlJc w:val="left"/>
      <w:pPr>
        <w:ind w:left="7524" w:hanging="360"/>
      </w:pPr>
      <w:rPr>
        <w:rFonts w:hint="default"/>
        <w:lang w:val="pl-PL" w:eastAsia="pl-PL" w:bidi="pl-PL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C2E"/>
    <w:rsid w:val="00066AE9"/>
    <w:rsid w:val="0011444E"/>
    <w:rsid w:val="001609EE"/>
    <w:rsid w:val="00197AE3"/>
    <w:rsid w:val="001F6AA5"/>
    <w:rsid w:val="00212F7E"/>
    <w:rsid w:val="002159DA"/>
    <w:rsid w:val="0027163C"/>
    <w:rsid w:val="002D2A85"/>
    <w:rsid w:val="00324EFB"/>
    <w:rsid w:val="00395B1F"/>
    <w:rsid w:val="003D3EFA"/>
    <w:rsid w:val="003D73EE"/>
    <w:rsid w:val="00426DDA"/>
    <w:rsid w:val="0048190A"/>
    <w:rsid w:val="004B528D"/>
    <w:rsid w:val="00560432"/>
    <w:rsid w:val="00560E63"/>
    <w:rsid w:val="00571234"/>
    <w:rsid w:val="00574806"/>
    <w:rsid w:val="00582F8A"/>
    <w:rsid w:val="005A2E93"/>
    <w:rsid w:val="005B4D0A"/>
    <w:rsid w:val="00612C2E"/>
    <w:rsid w:val="006944CA"/>
    <w:rsid w:val="006B2032"/>
    <w:rsid w:val="0071717D"/>
    <w:rsid w:val="00784A8C"/>
    <w:rsid w:val="00793E4D"/>
    <w:rsid w:val="007A1D45"/>
    <w:rsid w:val="007F2F1E"/>
    <w:rsid w:val="008013DC"/>
    <w:rsid w:val="00842A2D"/>
    <w:rsid w:val="008579C1"/>
    <w:rsid w:val="008B73E3"/>
    <w:rsid w:val="008E7027"/>
    <w:rsid w:val="009A5899"/>
    <w:rsid w:val="009D73CD"/>
    <w:rsid w:val="009F2449"/>
    <w:rsid w:val="00A92F5F"/>
    <w:rsid w:val="00AA06C3"/>
    <w:rsid w:val="00BA725A"/>
    <w:rsid w:val="00BC272C"/>
    <w:rsid w:val="00C62904"/>
    <w:rsid w:val="00C9400A"/>
    <w:rsid w:val="00CA650F"/>
    <w:rsid w:val="00CE3D80"/>
    <w:rsid w:val="00CF4510"/>
    <w:rsid w:val="00D4161B"/>
    <w:rsid w:val="00D92C82"/>
    <w:rsid w:val="00DC3B83"/>
    <w:rsid w:val="00E665AB"/>
    <w:rsid w:val="00EC327B"/>
    <w:rsid w:val="00EE53D4"/>
    <w:rsid w:val="00EE5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24BEEE"/>
  <w15:docId w15:val="{BE975C1C-5B42-49FE-B0C8-8D5E9ABEE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ING Me" w:eastAsia="ING Me" w:hAnsi="ING Me" w:cs="ING Me"/>
      <w:lang w:val="pl-PL" w:eastAsia="pl-PL" w:bidi="pl-PL"/>
    </w:rPr>
  </w:style>
  <w:style w:type="paragraph" w:styleId="Nagwek1">
    <w:name w:val="heading 1"/>
    <w:basedOn w:val="Normalny"/>
    <w:uiPriority w:val="1"/>
    <w:qFormat/>
    <w:pPr>
      <w:ind w:left="216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936" w:hanging="360"/>
    </w:pPr>
  </w:style>
  <w:style w:type="paragraph" w:customStyle="1" w:styleId="TableParagraph">
    <w:name w:val="Table Paragraph"/>
    <w:basedOn w:val="Normalny"/>
    <w:uiPriority w:val="1"/>
    <w:qFormat/>
  </w:style>
  <w:style w:type="character" w:styleId="Odwoaniedokomentarza">
    <w:name w:val="annotation reference"/>
    <w:basedOn w:val="Domylnaczcionkaakapitu"/>
    <w:uiPriority w:val="99"/>
    <w:semiHidden/>
    <w:unhideWhenUsed/>
    <w:rsid w:val="00842A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2A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2A2D"/>
    <w:rPr>
      <w:rFonts w:ascii="ING Me" w:eastAsia="ING Me" w:hAnsi="ING Me" w:cs="ING Me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2A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2A2D"/>
    <w:rPr>
      <w:rFonts w:ascii="ING Me" w:eastAsia="ING Me" w:hAnsi="ING Me" w:cs="ING Me"/>
      <w:b/>
      <w:bCs/>
      <w:sz w:val="20"/>
      <w:szCs w:val="20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2A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2A2D"/>
    <w:rPr>
      <w:rFonts w:ascii="Segoe UI" w:eastAsia="ING Me" w:hAnsi="Segoe UI" w:cs="Segoe UI"/>
      <w:sz w:val="18"/>
      <w:szCs w:val="18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9F2449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B20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2032"/>
    <w:rPr>
      <w:rFonts w:ascii="ING Me" w:eastAsia="ING Me" w:hAnsi="ING Me" w:cs="ING Me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6B20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2032"/>
    <w:rPr>
      <w:rFonts w:ascii="ING Me" w:eastAsia="ING Me" w:hAnsi="ING Me" w:cs="ING M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8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inghipoteczny.pl/_fileserver/item/110007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478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ING Bank Śląski S.A.</Company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Kolenda, D. (Daria)</dc:creator>
  <cp:lastModifiedBy>Kolenda, D. (Daria)</cp:lastModifiedBy>
  <cp:revision>9</cp:revision>
  <dcterms:created xsi:type="dcterms:W3CDTF">2020-03-10T12:50:00Z</dcterms:created>
  <dcterms:modified xsi:type="dcterms:W3CDTF">2021-02-23T08:03:00Z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2019-03-11T00:00:00Z</vt:filetime>
  </property>
  <property fmtid="{D5CDD505-2E9C-101B-9397-08002B2CF9AE}" pid="3" name="LastSaved">
    <vt:filetime>2019-03-11T00:00:00Z</vt:filetime>
  </property>
</Properties>
</file>