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79E934" w14:textId="77777777" w:rsidR="00612C2E" w:rsidRDefault="00612C2E" w:rsidP="00B72EA9">
      <w:pPr>
        <w:pStyle w:val="Tekstpodstawowy"/>
        <w:jc w:val="both"/>
        <w:rPr>
          <w:rFonts w:ascii="Times New Roman"/>
        </w:rPr>
      </w:pPr>
    </w:p>
    <w:p w14:paraId="4AF456B1" w14:textId="77777777" w:rsidR="00612C2E" w:rsidRDefault="00612C2E" w:rsidP="00B72EA9">
      <w:pPr>
        <w:pStyle w:val="Tekstpodstawowy"/>
        <w:spacing w:before="7"/>
        <w:jc w:val="both"/>
        <w:rPr>
          <w:rFonts w:ascii="Times New Roman"/>
          <w:sz w:val="19"/>
        </w:rPr>
      </w:pPr>
    </w:p>
    <w:p w14:paraId="6A3FF754" w14:textId="77777777" w:rsidR="00612C2E" w:rsidRDefault="00612C2E" w:rsidP="00B72EA9">
      <w:pPr>
        <w:pStyle w:val="Tekstpodstawowy"/>
        <w:jc w:val="both"/>
        <w:rPr>
          <w:sz w:val="26"/>
        </w:rPr>
      </w:pPr>
    </w:p>
    <w:p w14:paraId="3C5B33A7" w14:textId="77777777" w:rsidR="00CE3D80" w:rsidRDefault="00CE3D80" w:rsidP="00B72EA9">
      <w:pPr>
        <w:pStyle w:val="Tekstpodstawowy"/>
        <w:jc w:val="both"/>
        <w:rPr>
          <w:sz w:val="26"/>
        </w:rPr>
      </w:pPr>
    </w:p>
    <w:p w14:paraId="473371AE" w14:textId="77777777" w:rsidR="0010262B" w:rsidRDefault="0010262B" w:rsidP="00B72EA9">
      <w:pPr>
        <w:pStyle w:val="Tekstpodstawowy"/>
        <w:spacing w:before="2"/>
        <w:jc w:val="center"/>
        <w:rPr>
          <w:b/>
          <w:bCs/>
          <w:u w:val="single"/>
        </w:rPr>
      </w:pPr>
    </w:p>
    <w:p w14:paraId="518187EC" w14:textId="77777777" w:rsidR="0010262B" w:rsidRDefault="0010262B" w:rsidP="00B72EA9">
      <w:pPr>
        <w:pStyle w:val="Tekstpodstawowy"/>
        <w:spacing w:before="2"/>
        <w:jc w:val="center"/>
        <w:rPr>
          <w:b/>
          <w:bCs/>
          <w:u w:val="single"/>
        </w:rPr>
      </w:pPr>
    </w:p>
    <w:p w14:paraId="384293E7" w14:textId="77777777" w:rsidR="0010262B" w:rsidRDefault="0010262B" w:rsidP="00B72EA9">
      <w:pPr>
        <w:pStyle w:val="Tekstpodstawowy"/>
        <w:spacing w:before="2"/>
        <w:jc w:val="center"/>
        <w:rPr>
          <w:b/>
          <w:bCs/>
          <w:u w:val="single"/>
        </w:rPr>
      </w:pPr>
    </w:p>
    <w:p w14:paraId="7A50825E" w14:textId="77777777" w:rsidR="0010262B" w:rsidRDefault="0010262B" w:rsidP="00B72EA9">
      <w:pPr>
        <w:pStyle w:val="Tekstpodstawowy"/>
        <w:spacing w:before="2"/>
        <w:jc w:val="center"/>
        <w:rPr>
          <w:b/>
          <w:bCs/>
          <w:u w:val="single"/>
        </w:rPr>
      </w:pPr>
    </w:p>
    <w:p w14:paraId="3FE40223" w14:textId="77777777" w:rsidR="0010262B" w:rsidRDefault="0010262B" w:rsidP="00B72EA9">
      <w:pPr>
        <w:pStyle w:val="Tekstpodstawowy"/>
        <w:spacing w:before="2"/>
        <w:jc w:val="center"/>
        <w:rPr>
          <w:b/>
          <w:bCs/>
          <w:u w:val="single"/>
        </w:rPr>
      </w:pPr>
    </w:p>
    <w:p w14:paraId="500C308B" w14:textId="77777777" w:rsidR="0010262B" w:rsidRDefault="0010262B" w:rsidP="00B72EA9">
      <w:pPr>
        <w:pStyle w:val="Tekstpodstawowy"/>
        <w:spacing w:before="2"/>
        <w:jc w:val="center"/>
        <w:rPr>
          <w:b/>
          <w:bCs/>
          <w:u w:val="single"/>
        </w:rPr>
      </w:pPr>
    </w:p>
    <w:p w14:paraId="59F887E4" w14:textId="77777777" w:rsidR="0010262B" w:rsidRDefault="0010262B" w:rsidP="0010262B">
      <w:pPr>
        <w:pStyle w:val="Tekstpodstawowy"/>
        <w:spacing w:before="2"/>
        <w:jc w:val="center"/>
        <w:rPr>
          <w:b/>
          <w:bCs/>
          <w:sz w:val="28"/>
          <w:szCs w:val="28"/>
        </w:rPr>
      </w:pPr>
    </w:p>
    <w:p w14:paraId="20A3A792" w14:textId="77777777" w:rsidR="0010262B" w:rsidRDefault="0010262B" w:rsidP="0010262B">
      <w:pPr>
        <w:pStyle w:val="Tekstpodstawowy"/>
        <w:spacing w:before="2"/>
        <w:jc w:val="center"/>
        <w:rPr>
          <w:b/>
          <w:bCs/>
          <w:sz w:val="28"/>
          <w:szCs w:val="28"/>
        </w:rPr>
      </w:pPr>
    </w:p>
    <w:p w14:paraId="1B414444" w14:textId="77777777" w:rsidR="0010262B" w:rsidRDefault="0010262B" w:rsidP="0010262B">
      <w:pPr>
        <w:pStyle w:val="Tekstpodstawowy"/>
        <w:spacing w:before="2"/>
        <w:jc w:val="center"/>
        <w:rPr>
          <w:b/>
          <w:bCs/>
          <w:sz w:val="28"/>
          <w:szCs w:val="28"/>
        </w:rPr>
      </w:pPr>
    </w:p>
    <w:p w14:paraId="02341F4E" w14:textId="77777777" w:rsidR="0010262B" w:rsidRDefault="0010262B" w:rsidP="0010262B">
      <w:pPr>
        <w:pStyle w:val="Tekstpodstawowy"/>
        <w:spacing w:before="2"/>
        <w:jc w:val="center"/>
        <w:rPr>
          <w:b/>
          <w:bCs/>
          <w:sz w:val="28"/>
          <w:szCs w:val="28"/>
        </w:rPr>
      </w:pPr>
    </w:p>
    <w:p w14:paraId="55758034" w14:textId="458C7828" w:rsidR="0010262B" w:rsidRPr="0010262B" w:rsidRDefault="0010262B" w:rsidP="0010262B">
      <w:pPr>
        <w:pStyle w:val="Tekstpodstawowy"/>
        <w:spacing w:before="2"/>
        <w:jc w:val="center"/>
        <w:rPr>
          <w:b/>
          <w:bCs/>
          <w:color w:val="FF6200"/>
          <w:sz w:val="32"/>
          <w:szCs w:val="32"/>
        </w:rPr>
      </w:pPr>
      <w:r w:rsidRPr="0010262B">
        <w:rPr>
          <w:b/>
          <w:bCs/>
          <w:color w:val="FF6200"/>
          <w:sz w:val="32"/>
          <w:szCs w:val="32"/>
        </w:rPr>
        <w:t>Ocena działalności ING Banku</w:t>
      </w:r>
    </w:p>
    <w:p w14:paraId="17C43AE0" w14:textId="55E438B5" w:rsidR="0010262B" w:rsidRPr="0010262B" w:rsidRDefault="00B46582" w:rsidP="0010262B">
      <w:pPr>
        <w:pStyle w:val="Tekstpodstawowy"/>
        <w:spacing w:before="2"/>
        <w:jc w:val="center"/>
        <w:rPr>
          <w:b/>
          <w:bCs/>
          <w:color w:val="FF6200"/>
          <w:sz w:val="32"/>
          <w:szCs w:val="32"/>
        </w:rPr>
      </w:pPr>
      <w:r>
        <w:rPr>
          <w:b/>
          <w:bCs/>
          <w:color w:val="FF6200"/>
          <w:sz w:val="32"/>
          <w:szCs w:val="32"/>
        </w:rPr>
        <w:t>Hipotecznego S.A. w 202</w:t>
      </w:r>
      <w:r w:rsidR="00A03D21">
        <w:rPr>
          <w:b/>
          <w:bCs/>
          <w:color w:val="FF6200"/>
          <w:sz w:val="32"/>
          <w:szCs w:val="32"/>
        </w:rPr>
        <w:t>1</w:t>
      </w:r>
      <w:r w:rsidR="0010262B" w:rsidRPr="0010262B">
        <w:rPr>
          <w:b/>
          <w:bCs/>
          <w:color w:val="FF6200"/>
          <w:sz w:val="32"/>
          <w:szCs w:val="32"/>
        </w:rPr>
        <w:t xml:space="preserve"> roku sporządzona przez Radę</w:t>
      </w:r>
    </w:p>
    <w:p w14:paraId="31C0BBF5" w14:textId="196922DA" w:rsidR="0010262B" w:rsidRPr="0010262B" w:rsidRDefault="0010262B" w:rsidP="0010262B">
      <w:pPr>
        <w:pStyle w:val="Tekstpodstawowy"/>
        <w:spacing w:before="2"/>
        <w:jc w:val="center"/>
        <w:rPr>
          <w:b/>
          <w:bCs/>
          <w:color w:val="FF6200"/>
          <w:sz w:val="32"/>
          <w:szCs w:val="32"/>
        </w:rPr>
      </w:pPr>
      <w:r w:rsidRPr="0010262B">
        <w:rPr>
          <w:b/>
          <w:bCs/>
          <w:color w:val="FF6200"/>
          <w:sz w:val="32"/>
          <w:szCs w:val="32"/>
        </w:rPr>
        <w:t>Nadzorczą</w:t>
      </w:r>
      <w:r>
        <w:rPr>
          <w:b/>
          <w:bCs/>
          <w:color w:val="FF6200"/>
          <w:sz w:val="32"/>
          <w:szCs w:val="32"/>
        </w:rPr>
        <w:t xml:space="preserve"> </w:t>
      </w:r>
      <w:r w:rsidRPr="0010262B">
        <w:rPr>
          <w:b/>
          <w:bCs/>
          <w:color w:val="FF6200"/>
          <w:sz w:val="32"/>
          <w:szCs w:val="32"/>
        </w:rPr>
        <w:t xml:space="preserve">z uwzględnieniem oceny systemów kontroli wewnętrznej, zarządzania ryzykiem, </w:t>
      </w:r>
      <w:proofErr w:type="spellStart"/>
      <w:r w:rsidRPr="0010262B">
        <w:rPr>
          <w:b/>
          <w:bCs/>
          <w:color w:val="FF6200"/>
          <w:sz w:val="32"/>
          <w:szCs w:val="32"/>
        </w:rPr>
        <w:t>compliance</w:t>
      </w:r>
      <w:proofErr w:type="spellEnd"/>
      <w:r w:rsidRPr="0010262B">
        <w:rPr>
          <w:b/>
          <w:bCs/>
          <w:color w:val="FF6200"/>
          <w:sz w:val="32"/>
          <w:szCs w:val="32"/>
        </w:rPr>
        <w:t xml:space="preserve"> oraz funkcji audytu wewnętrzneg</w:t>
      </w:r>
      <w:r>
        <w:rPr>
          <w:b/>
          <w:bCs/>
          <w:color w:val="FF6200"/>
          <w:sz w:val="32"/>
          <w:szCs w:val="32"/>
        </w:rPr>
        <w:t>o</w:t>
      </w:r>
    </w:p>
    <w:p w14:paraId="10B2546A" w14:textId="77777777" w:rsidR="0010262B" w:rsidRDefault="0010262B" w:rsidP="00B72EA9">
      <w:pPr>
        <w:pStyle w:val="Tekstpodstawowy"/>
        <w:spacing w:before="2"/>
        <w:jc w:val="center"/>
        <w:rPr>
          <w:b/>
          <w:bCs/>
          <w:u w:val="single"/>
        </w:rPr>
      </w:pPr>
    </w:p>
    <w:p w14:paraId="5BC76A94" w14:textId="77777777" w:rsidR="0010262B" w:rsidRDefault="0010262B" w:rsidP="00B72EA9">
      <w:pPr>
        <w:pStyle w:val="Tekstpodstawowy"/>
        <w:spacing w:before="2"/>
        <w:jc w:val="center"/>
        <w:rPr>
          <w:b/>
          <w:bCs/>
          <w:u w:val="single"/>
        </w:rPr>
      </w:pPr>
    </w:p>
    <w:p w14:paraId="1C0ED9B3" w14:textId="77777777" w:rsidR="0010262B" w:rsidRDefault="0010262B" w:rsidP="00B72EA9">
      <w:pPr>
        <w:pStyle w:val="Tekstpodstawowy"/>
        <w:spacing w:before="2"/>
        <w:jc w:val="center"/>
        <w:rPr>
          <w:b/>
          <w:bCs/>
          <w:u w:val="single"/>
        </w:rPr>
      </w:pPr>
    </w:p>
    <w:p w14:paraId="5E326347" w14:textId="77777777" w:rsidR="0010262B" w:rsidRDefault="0010262B" w:rsidP="00B72EA9">
      <w:pPr>
        <w:pStyle w:val="Tekstpodstawowy"/>
        <w:spacing w:before="2"/>
        <w:jc w:val="center"/>
        <w:rPr>
          <w:b/>
          <w:bCs/>
          <w:u w:val="single"/>
        </w:rPr>
      </w:pPr>
    </w:p>
    <w:p w14:paraId="782DC2A2" w14:textId="77777777" w:rsidR="0010262B" w:rsidRDefault="0010262B" w:rsidP="00B72EA9">
      <w:pPr>
        <w:pStyle w:val="Tekstpodstawowy"/>
        <w:spacing w:before="2"/>
        <w:jc w:val="center"/>
        <w:rPr>
          <w:b/>
          <w:bCs/>
          <w:u w:val="single"/>
        </w:rPr>
      </w:pPr>
    </w:p>
    <w:p w14:paraId="7827907A" w14:textId="77777777" w:rsidR="0010262B" w:rsidRDefault="0010262B" w:rsidP="00B72EA9">
      <w:pPr>
        <w:pStyle w:val="Tekstpodstawowy"/>
        <w:spacing w:before="2"/>
        <w:jc w:val="center"/>
        <w:rPr>
          <w:b/>
          <w:bCs/>
          <w:u w:val="single"/>
        </w:rPr>
      </w:pPr>
    </w:p>
    <w:p w14:paraId="0A1F3BB6" w14:textId="77777777" w:rsidR="0010262B" w:rsidRDefault="0010262B" w:rsidP="00B72EA9">
      <w:pPr>
        <w:pStyle w:val="Tekstpodstawowy"/>
        <w:spacing w:before="2"/>
        <w:jc w:val="center"/>
        <w:rPr>
          <w:b/>
          <w:bCs/>
          <w:u w:val="single"/>
        </w:rPr>
      </w:pPr>
    </w:p>
    <w:p w14:paraId="2ACBEA6D" w14:textId="77777777" w:rsidR="0010262B" w:rsidRDefault="0010262B" w:rsidP="00B72EA9">
      <w:pPr>
        <w:pStyle w:val="Tekstpodstawowy"/>
        <w:spacing w:before="2"/>
        <w:jc w:val="center"/>
        <w:rPr>
          <w:b/>
          <w:bCs/>
          <w:u w:val="single"/>
        </w:rPr>
      </w:pPr>
    </w:p>
    <w:p w14:paraId="56360ABD" w14:textId="77777777" w:rsidR="0010262B" w:rsidRDefault="0010262B" w:rsidP="00B72EA9">
      <w:pPr>
        <w:pStyle w:val="Tekstpodstawowy"/>
        <w:spacing w:before="2"/>
        <w:jc w:val="center"/>
        <w:rPr>
          <w:b/>
          <w:bCs/>
          <w:u w:val="single"/>
        </w:rPr>
      </w:pPr>
    </w:p>
    <w:p w14:paraId="542489B3" w14:textId="77777777" w:rsidR="0010262B" w:rsidRDefault="0010262B" w:rsidP="00B72EA9">
      <w:pPr>
        <w:pStyle w:val="Tekstpodstawowy"/>
        <w:spacing w:before="2"/>
        <w:jc w:val="center"/>
        <w:rPr>
          <w:b/>
          <w:bCs/>
          <w:u w:val="single"/>
        </w:rPr>
      </w:pPr>
    </w:p>
    <w:p w14:paraId="75E8416F" w14:textId="77777777" w:rsidR="0010262B" w:rsidRDefault="0010262B" w:rsidP="00B72EA9">
      <w:pPr>
        <w:pStyle w:val="Tekstpodstawowy"/>
        <w:spacing w:before="2"/>
        <w:jc w:val="center"/>
        <w:rPr>
          <w:b/>
          <w:bCs/>
          <w:u w:val="single"/>
        </w:rPr>
      </w:pPr>
    </w:p>
    <w:p w14:paraId="69A8BE39" w14:textId="77777777" w:rsidR="0010262B" w:rsidRDefault="0010262B" w:rsidP="00B72EA9">
      <w:pPr>
        <w:pStyle w:val="Tekstpodstawowy"/>
        <w:spacing w:before="2"/>
        <w:jc w:val="center"/>
        <w:rPr>
          <w:b/>
          <w:bCs/>
          <w:u w:val="single"/>
        </w:rPr>
      </w:pPr>
    </w:p>
    <w:p w14:paraId="4F32922E" w14:textId="77777777" w:rsidR="0010262B" w:rsidRDefault="0010262B" w:rsidP="00B72EA9">
      <w:pPr>
        <w:pStyle w:val="Tekstpodstawowy"/>
        <w:spacing w:before="2"/>
        <w:jc w:val="center"/>
        <w:rPr>
          <w:b/>
          <w:bCs/>
          <w:u w:val="single"/>
        </w:rPr>
      </w:pPr>
    </w:p>
    <w:p w14:paraId="66DD7E84" w14:textId="77777777" w:rsidR="0010262B" w:rsidRDefault="0010262B" w:rsidP="00B72EA9">
      <w:pPr>
        <w:pStyle w:val="Tekstpodstawowy"/>
        <w:spacing w:before="2"/>
        <w:jc w:val="center"/>
        <w:rPr>
          <w:b/>
          <w:bCs/>
          <w:u w:val="single"/>
        </w:rPr>
      </w:pPr>
    </w:p>
    <w:p w14:paraId="3CA0EFE4" w14:textId="77777777" w:rsidR="0010262B" w:rsidRDefault="0010262B" w:rsidP="00B72EA9">
      <w:pPr>
        <w:pStyle w:val="Tekstpodstawowy"/>
        <w:spacing w:before="2"/>
        <w:jc w:val="center"/>
        <w:rPr>
          <w:b/>
          <w:bCs/>
          <w:u w:val="single"/>
        </w:rPr>
      </w:pPr>
    </w:p>
    <w:p w14:paraId="6105F399" w14:textId="77777777" w:rsidR="0010262B" w:rsidRDefault="0010262B" w:rsidP="00B72EA9">
      <w:pPr>
        <w:pStyle w:val="Tekstpodstawowy"/>
        <w:spacing w:before="2"/>
        <w:jc w:val="center"/>
        <w:rPr>
          <w:b/>
          <w:bCs/>
          <w:u w:val="single"/>
        </w:rPr>
      </w:pPr>
    </w:p>
    <w:p w14:paraId="0DEBAA6B" w14:textId="77777777" w:rsidR="0010262B" w:rsidRDefault="0010262B" w:rsidP="00B72EA9">
      <w:pPr>
        <w:pStyle w:val="Tekstpodstawowy"/>
        <w:spacing w:before="2"/>
        <w:jc w:val="center"/>
        <w:rPr>
          <w:b/>
          <w:bCs/>
          <w:u w:val="single"/>
        </w:rPr>
      </w:pPr>
    </w:p>
    <w:p w14:paraId="6DE002A4" w14:textId="77777777" w:rsidR="0010262B" w:rsidRDefault="0010262B" w:rsidP="00B72EA9">
      <w:pPr>
        <w:pStyle w:val="Tekstpodstawowy"/>
        <w:spacing w:before="2"/>
        <w:jc w:val="center"/>
        <w:rPr>
          <w:b/>
          <w:bCs/>
          <w:u w:val="single"/>
        </w:rPr>
      </w:pPr>
    </w:p>
    <w:p w14:paraId="4C3A38BA" w14:textId="77777777" w:rsidR="0010262B" w:rsidRDefault="0010262B" w:rsidP="00B72EA9">
      <w:pPr>
        <w:pStyle w:val="Tekstpodstawowy"/>
        <w:spacing w:before="2"/>
        <w:jc w:val="center"/>
        <w:rPr>
          <w:b/>
          <w:bCs/>
          <w:u w:val="single"/>
        </w:rPr>
      </w:pPr>
    </w:p>
    <w:p w14:paraId="030102C1" w14:textId="77777777" w:rsidR="0010262B" w:rsidRDefault="0010262B" w:rsidP="00B72EA9">
      <w:pPr>
        <w:pStyle w:val="Tekstpodstawowy"/>
        <w:spacing w:before="2"/>
        <w:jc w:val="center"/>
        <w:rPr>
          <w:b/>
          <w:bCs/>
          <w:u w:val="single"/>
        </w:rPr>
      </w:pPr>
    </w:p>
    <w:p w14:paraId="205EB908" w14:textId="77777777" w:rsidR="0010262B" w:rsidRDefault="0010262B" w:rsidP="00B72EA9">
      <w:pPr>
        <w:pStyle w:val="Tekstpodstawowy"/>
        <w:spacing w:before="2"/>
        <w:jc w:val="center"/>
        <w:rPr>
          <w:b/>
          <w:bCs/>
          <w:u w:val="single"/>
        </w:rPr>
      </w:pPr>
    </w:p>
    <w:p w14:paraId="71A47F74" w14:textId="77777777" w:rsidR="0010262B" w:rsidRDefault="0010262B" w:rsidP="00B72EA9">
      <w:pPr>
        <w:pStyle w:val="Tekstpodstawowy"/>
        <w:spacing w:before="2"/>
        <w:jc w:val="center"/>
        <w:rPr>
          <w:b/>
          <w:bCs/>
          <w:u w:val="single"/>
        </w:rPr>
      </w:pPr>
    </w:p>
    <w:p w14:paraId="7E4AEDCA" w14:textId="77777777" w:rsidR="0010262B" w:rsidRDefault="0010262B" w:rsidP="00B72EA9">
      <w:pPr>
        <w:pStyle w:val="Tekstpodstawowy"/>
        <w:spacing w:before="2"/>
        <w:jc w:val="center"/>
        <w:rPr>
          <w:b/>
          <w:bCs/>
          <w:u w:val="single"/>
        </w:rPr>
      </w:pPr>
    </w:p>
    <w:p w14:paraId="23E9812A" w14:textId="77777777" w:rsidR="0010262B" w:rsidRDefault="0010262B" w:rsidP="00B72EA9">
      <w:pPr>
        <w:pStyle w:val="Tekstpodstawowy"/>
        <w:spacing w:before="2"/>
        <w:jc w:val="center"/>
        <w:rPr>
          <w:b/>
          <w:bCs/>
          <w:u w:val="single"/>
        </w:rPr>
      </w:pPr>
    </w:p>
    <w:p w14:paraId="5209CED2" w14:textId="77777777" w:rsidR="0010262B" w:rsidRDefault="0010262B" w:rsidP="00B72EA9">
      <w:pPr>
        <w:pStyle w:val="Tekstpodstawowy"/>
        <w:spacing w:before="2"/>
        <w:jc w:val="center"/>
        <w:rPr>
          <w:b/>
          <w:bCs/>
          <w:u w:val="single"/>
        </w:rPr>
      </w:pPr>
    </w:p>
    <w:p w14:paraId="4623988A" w14:textId="77777777" w:rsidR="0010262B" w:rsidRDefault="0010262B" w:rsidP="00B72EA9">
      <w:pPr>
        <w:pStyle w:val="Tekstpodstawowy"/>
        <w:spacing w:before="2"/>
        <w:jc w:val="center"/>
        <w:rPr>
          <w:b/>
          <w:bCs/>
          <w:u w:val="single"/>
        </w:rPr>
      </w:pPr>
    </w:p>
    <w:p w14:paraId="4359B9D2" w14:textId="77777777" w:rsidR="0010262B" w:rsidRDefault="0010262B" w:rsidP="00B72EA9">
      <w:pPr>
        <w:pStyle w:val="Tekstpodstawowy"/>
        <w:spacing w:before="2"/>
        <w:jc w:val="center"/>
        <w:rPr>
          <w:b/>
          <w:bCs/>
          <w:u w:val="single"/>
        </w:rPr>
      </w:pPr>
    </w:p>
    <w:p w14:paraId="791B08BC" w14:textId="77777777" w:rsidR="0010262B" w:rsidRDefault="0010262B" w:rsidP="00B72EA9">
      <w:pPr>
        <w:pStyle w:val="Tekstpodstawowy"/>
        <w:spacing w:before="2"/>
        <w:jc w:val="center"/>
        <w:rPr>
          <w:b/>
          <w:bCs/>
          <w:u w:val="single"/>
        </w:rPr>
      </w:pPr>
    </w:p>
    <w:p w14:paraId="74992262" w14:textId="77777777" w:rsidR="0010262B" w:rsidRDefault="0010262B" w:rsidP="00B72EA9">
      <w:pPr>
        <w:pStyle w:val="Tekstpodstawowy"/>
        <w:spacing w:before="2"/>
        <w:jc w:val="center"/>
        <w:rPr>
          <w:b/>
          <w:bCs/>
          <w:u w:val="single"/>
        </w:rPr>
      </w:pPr>
    </w:p>
    <w:p w14:paraId="6E476180" w14:textId="77777777" w:rsidR="0010262B" w:rsidRDefault="0010262B" w:rsidP="00B72EA9">
      <w:pPr>
        <w:pStyle w:val="Tekstpodstawowy"/>
        <w:spacing w:before="2"/>
        <w:jc w:val="center"/>
        <w:rPr>
          <w:b/>
          <w:bCs/>
          <w:u w:val="single"/>
        </w:rPr>
      </w:pPr>
    </w:p>
    <w:p w14:paraId="598F8CF1" w14:textId="77777777" w:rsidR="0010262B" w:rsidRDefault="0010262B" w:rsidP="00B72EA9">
      <w:pPr>
        <w:pStyle w:val="Tekstpodstawowy"/>
        <w:spacing w:before="2"/>
        <w:jc w:val="center"/>
        <w:rPr>
          <w:b/>
          <w:bCs/>
          <w:u w:val="single"/>
        </w:rPr>
      </w:pPr>
    </w:p>
    <w:p w14:paraId="58454623" w14:textId="77777777" w:rsidR="0010262B" w:rsidRPr="0010262B" w:rsidRDefault="0010262B" w:rsidP="0010262B">
      <w:pPr>
        <w:pStyle w:val="Tekstpodstawowy"/>
        <w:spacing w:before="2"/>
        <w:jc w:val="both"/>
        <w:rPr>
          <w:bCs/>
        </w:rPr>
      </w:pPr>
    </w:p>
    <w:p w14:paraId="6E339229" w14:textId="77777777" w:rsidR="0010262B" w:rsidRPr="000459D6" w:rsidRDefault="0010262B" w:rsidP="0070161C">
      <w:pPr>
        <w:pStyle w:val="Tekstpodstawowy"/>
        <w:spacing w:before="2" w:after="2" w:line="288" w:lineRule="auto"/>
        <w:jc w:val="both"/>
        <w:rPr>
          <w:bCs/>
        </w:rPr>
      </w:pPr>
    </w:p>
    <w:p w14:paraId="629B2B78" w14:textId="2F604C0D" w:rsidR="0010262B" w:rsidRPr="000459D6" w:rsidRDefault="0010262B" w:rsidP="0070161C">
      <w:pPr>
        <w:pStyle w:val="Tekstpodstawowy"/>
        <w:spacing w:before="2" w:after="2" w:line="288" w:lineRule="auto"/>
        <w:jc w:val="both"/>
        <w:rPr>
          <w:bCs/>
        </w:rPr>
      </w:pPr>
      <w:r w:rsidRPr="000459D6">
        <w:rPr>
          <w:bCs/>
        </w:rPr>
        <w:t>ING Bank Hipoteczny S.A. jest spółką zależną ING Banku Śląskiego S.A.,</w:t>
      </w:r>
      <w:r w:rsidR="009E414F" w:rsidRPr="000459D6">
        <w:rPr>
          <w:bCs/>
        </w:rPr>
        <w:t xml:space="preserve"> który według stanu na dzień 31 </w:t>
      </w:r>
      <w:r w:rsidR="00B46582" w:rsidRPr="000459D6">
        <w:rPr>
          <w:bCs/>
        </w:rPr>
        <w:t xml:space="preserve">grudnia </w:t>
      </w:r>
      <w:r w:rsidR="00A03D21" w:rsidRPr="000459D6">
        <w:rPr>
          <w:bCs/>
        </w:rPr>
        <w:t>2021</w:t>
      </w:r>
      <w:r w:rsidRPr="000459D6">
        <w:rPr>
          <w:bCs/>
        </w:rPr>
        <w:t xml:space="preserve"> roku posiadał 100% udziału w kapitale zakładowym </w:t>
      </w:r>
      <w:r w:rsidR="009E414F" w:rsidRPr="000459D6">
        <w:rPr>
          <w:bCs/>
        </w:rPr>
        <w:t>ING Banku Hipotecznego S.A. ING </w:t>
      </w:r>
      <w:r w:rsidRPr="000459D6">
        <w:rPr>
          <w:bCs/>
        </w:rPr>
        <w:t>Bank Hipoteczny S.A. wchodzi w skład Grupy Kapitałowej, określanej na potrzeby niniejszego sprawozdania jako Grupa Kapitałowa ING Banku Śląskiego S.A. (Grupa).</w:t>
      </w:r>
    </w:p>
    <w:p w14:paraId="3A23357E" w14:textId="77777777" w:rsidR="0010262B" w:rsidRPr="000459D6" w:rsidRDefault="0010262B" w:rsidP="0070161C">
      <w:pPr>
        <w:pStyle w:val="Tekstpodstawowy"/>
        <w:spacing w:before="2" w:after="2" w:line="288" w:lineRule="auto"/>
        <w:jc w:val="both"/>
        <w:rPr>
          <w:bCs/>
        </w:rPr>
      </w:pPr>
    </w:p>
    <w:p w14:paraId="75DF7E65" w14:textId="1CBF3950" w:rsidR="0010262B" w:rsidRPr="000459D6" w:rsidRDefault="0010262B" w:rsidP="0070161C">
      <w:pPr>
        <w:pStyle w:val="Tekstpodstawowy"/>
        <w:spacing w:before="2" w:after="2" w:line="288" w:lineRule="auto"/>
        <w:jc w:val="both"/>
        <w:rPr>
          <w:bCs/>
        </w:rPr>
      </w:pPr>
      <w:r w:rsidRPr="000459D6">
        <w:rPr>
          <w:bCs/>
        </w:rPr>
        <w:t>Wedłu</w:t>
      </w:r>
      <w:r w:rsidR="00B46582" w:rsidRPr="000459D6">
        <w:rPr>
          <w:bCs/>
        </w:rPr>
        <w:t xml:space="preserve">g stanu na dzień 31 grudnia </w:t>
      </w:r>
      <w:r w:rsidR="00A03D21" w:rsidRPr="000459D6">
        <w:rPr>
          <w:bCs/>
        </w:rPr>
        <w:t xml:space="preserve">2021 </w:t>
      </w:r>
      <w:r w:rsidRPr="000459D6">
        <w:rPr>
          <w:bCs/>
        </w:rPr>
        <w:t>roku, kapitał zakładowy ING Ba</w:t>
      </w:r>
      <w:r w:rsidR="00B46582" w:rsidRPr="000459D6">
        <w:rPr>
          <w:bCs/>
        </w:rPr>
        <w:t>nku Hipotecznego S.A. wynosił 38</w:t>
      </w:r>
      <w:r w:rsidRPr="000459D6">
        <w:rPr>
          <w:bCs/>
        </w:rPr>
        <w:t>0.000.000 PLN i został w całości objęty przez ING Bank Śląski S.A. Akcje ING Banku Hipotecznego S.A. zostały pokryte wkładem pieniężnym.</w:t>
      </w:r>
    </w:p>
    <w:p w14:paraId="7D6C9F7E" w14:textId="77777777" w:rsidR="0010262B" w:rsidRPr="000459D6" w:rsidRDefault="0010262B" w:rsidP="0070161C">
      <w:pPr>
        <w:pStyle w:val="Tekstpodstawowy"/>
        <w:spacing w:before="2" w:after="2" w:line="288" w:lineRule="auto"/>
        <w:jc w:val="both"/>
        <w:rPr>
          <w:bCs/>
        </w:rPr>
      </w:pPr>
    </w:p>
    <w:p w14:paraId="4B58CCA8" w14:textId="15994268" w:rsidR="0010262B" w:rsidRPr="000459D6" w:rsidRDefault="0010262B" w:rsidP="0070161C">
      <w:pPr>
        <w:pStyle w:val="Tekstpodstawowy"/>
        <w:spacing w:before="2" w:after="2" w:line="288" w:lineRule="auto"/>
        <w:jc w:val="both"/>
        <w:rPr>
          <w:bCs/>
        </w:rPr>
      </w:pPr>
      <w:r w:rsidRPr="000459D6">
        <w:rPr>
          <w:bCs/>
        </w:rPr>
        <w:t xml:space="preserve">Bank działa w oparciu o strategiczną współpracę z ING Bankiem Śląskim </w:t>
      </w:r>
      <w:r w:rsidR="003F0DA1" w:rsidRPr="000459D6">
        <w:rPr>
          <w:bCs/>
        </w:rPr>
        <w:t>S.A. nabywając wierzytelności z </w:t>
      </w:r>
      <w:r w:rsidRPr="000459D6">
        <w:rPr>
          <w:bCs/>
        </w:rPr>
        <w:t>tytułu umów o kredyty zabezpieczone hipoteką. Strategicznym celem Banku jest dostarczenie Grupie długoterminowego, stabilnego finansowania w drodze emisji hipotecznych listów zastawnych.</w:t>
      </w:r>
    </w:p>
    <w:p w14:paraId="16EB3DC7" w14:textId="6B0C83F2" w:rsidR="0010262B" w:rsidRPr="000459D6" w:rsidRDefault="0010262B" w:rsidP="0070161C">
      <w:pPr>
        <w:pStyle w:val="Tekstpodstawowy"/>
        <w:spacing w:before="2" w:line="288" w:lineRule="auto"/>
        <w:jc w:val="both"/>
        <w:rPr>
          <w:bCs/>
        </w:rPr>
      </w:pPr>
    </w:p>
    <w:p w14:paraId="5A2EDC3D" w14:textId="5A4F7540" w:rsidR="0010262B" w:rsidRPr="000459D6" w:rsidRDefault="0010262B" w:rsidP="0070161C">
      <w:pPr>
        <w:pStyle w:val="Tekstpodstawowy"/>
        <w:spacing w:before="2" w:line="288" w:lineRule="auto"/>
        <w:jc w:val="both"/>
        <w:rPr>
          <w:b/>
          <w:bCs/>
        </w:rPr>
      </w:pPr>
      <w:r w:rsidRPr="000459D6">
        <w:rPr>
          <w:b/>
          <w:bCs/>
        </w:rPr>
        <w:t xml:space="preserve">Otoczenie biznesowe </w:t>
      </w:r>
    </w:p>
    <w:p w14:paraId="3551FB15" w14:textId="77777777" w:rsidR="0010262B" w:rsidRPr="000459D6" w:rsidRDefault="0010262B" w:rsidP="0070161C">
      <w:pPr>
        <w:pStyle w:val="Tekstpodstawowy"/>
        <w:spacing w:before="2" w:line="288" w:lineRule="auto"/>
        <w:jc w:val="both"/>
        <w:rPr>
          <w:b/>
          <w:bCs/>
        </w:rPr>
      </w:pPr>
    </w:p>
    <w:p w14:paraId="564A6430" w14:textId="01F87AD9" w:rsidR="00936948" w:rsidRPr="000459D6" w:rsidRDefault="002A2950" w:rsidP="00936948">
      <w:pPr>
        <w:pStyle w:val="Tekstpodstawowy"/>
        <w:spacing w:before="2" w:line="288" w:lineRule="auto"/>
        <w:jc w:val="both"/>
        <w:rPr>
          <w:bCs/>
        </w:rPr>
      </w:pPr>
      <w:r>
        <w:rPr>
          <w:bCs/>
        </w:rPr>
        <w:t>Z</w:t>
      </w:r>
      <w:r w:rsidRPr="000459D6">
        <w:rPr>
          <w:bCs/>
        </w:rPr>
        <w:t>godnie z danymi opublikowanymi przez N</w:t>
      </w:r>
      <w:r>
        <w:rPr>
          <w:bCs/>
        </w:rPr>
        <w:t>BP n</w:t>
      </w:r>
      <w:r w:rsidR="00936948" w:rsidRPr="000459D6">
        <w:rPr>
          <w:bCs/>
        </w:rPr>
        <w:t>a 30 listopada 2021 roku należności banków z tytułu kredytów mieszkaniowych w Polsce wyniosły 503,5 mld PLN i wzrosły o 6,6% r/r</w:t>
      </w:r>
      <w:r w:rsidR="00E434EC">
        <w:rPr>
          <w:bCs/>
        </w:rPr>
        <w:t xml:space="preserve">, w tym łączna wartość kredytów mieszkaniowych na koniec w/w okresu udzielona w złotych wyniosła 399,7 mld PLN notując wzrost o 12,7% r/r. </w:t>
      </w:r>
    </w:p>
    <w:p w14:paraId="44D64A54" w14:textId="77777777" w:rsidR="0080568D" w:rsidRPr="000459D6" w:rsidRDefault="0080568D" w:rsidP="00936948">
      <w:pPr>
        <w:pStyle w:val="Tekstpodstawowy"/>
        <w:spacing w:before="2" w:line="288" w:lineRule="auto"/>
        <w:jc w:val="both"/>
        <w:rPr>
          <w:bCs/>
        </w:rPr>
      </w:pPr>
    </w:p>
    <w:p w14:paraId="3690D22F" w14:textId="4B540496" w:rsidR="00936948" w:rsidRPr="000459D6" w:rsidRDefault="00DE6614" w:rsidP="00936948">
      <w:pPr>
        <w:pStyle w:val="Tekstpodstawowy"/>
        <w:spacing w:before="2" w:line="288" w:lineRule="auto"/>
        <w:jc w:val="both"/>
        <w:rPr>
          <w:bCs/>
        </w:rPr>
      </w:pPr>
      <w:r>
        <w:rPr>
          <w:bCs/>
        </w:rPr>
        <w:t xml:space="preserve">Grupa Kapitałowa ING Banku Śląskiego S.A. posiada 13,5% udziału w rynku wolumenów kredytów hipotecznych w PLN oraz 10,8% w kredytach hipotecznych ogółem (IV kwartał 2021 roku). </w:t>
      </w:r>
    </w:p>
    <w:p w14:paraId="0C3698F0" w14:textId="77777777" w:rsidR="00A00D3A" w:rsidRPr="000459D6" w:rsidRDefault="00A00D3A" w:rsidP="0070161C">
      <w:pPr>
        <w:pStyle w:val="Tekstpodstawowy"/>
        <w:spacing w:before="2" w:line="288" w:lineRule="auto"/>
        <w:jc w:val="both"/>
        <w:rPr>
          <w:b/>
          <w:bCs/>
        </w:rPr>
      </w:pPr>
    </w:p>
    <w:p w14:paraId="49899B25" w14:textId="5AB27B72" w:rsidR="003F0DA1" w:rsidRPr="000459D6" w:rsidRDefault="003F0DA1" w:rsidP="0070161C">
      <w:pPr>
        <w:pStyle w:val="Tekstpodstawowy"/>
        <w:spacing w:before="2" w:line="288" w:lineRule="auto"/>
        <w:jc w:val="both"/>
        <w:rPr>
          <w:b/>
          <w:bCs/>
        </w:rPr>
      </w:pPr>
      <w:r w:rsidRPr="000459D6">
        <w:rPr>
          <w:b/>
          <w:bCs/>
        </w:rPr>
        <w:t xml:space="preserve">Działalność </w:t>
      </w:r>
      <w:r w:rsidR="000800B1" w:rsidRPr="000459D6">
        <w:rPr>
          <w:b/>
          <w:bCs/>
        </w:rPr>
        <w:t xml:space="preserve">ING </w:t>
      </w:r>
      <w:r w:rsidRPr="000459D6">
        <w:rPr>
          <w:b/>
          <w:bCs/>
        </w:rPr>
        <w:t>Banku</w:t>
      </w:r>
      <w:r w:rsidR="000800B1" w:rsidRPr="000459D6">
        <w:rPr>
          <w:b/>
          <w:bCs/>
        </w:rPr>
        <w:t xml:space="preserve"> Hipotecznego S.A.</w:t>
      </w:r>
    </w:p>
    <w:p w14:paraId="79657E5F" w14:textId="77777777" w:rsidR="003F0DA1" w:rsidRPr="000459D6" w:rsidRDefault="003F0DA1" w:rsidP="0070161C">
      <w:pPr>
        <w:pStyle w:val="Tekstpodstawowy"/>
        <w:spacing w:before="2" w:line="288" w:lineRule="auto"/>
        <w:jc w:val="both"/>
        <w:rPr>
          <w:b/>
          <w:bCs/>
        </w:rPr>
      </w:pPr>
    </w:p>
    <w:p w14:paraId="475AE390" w14:textId="46E0AB3E" w:rsidR="0010262B" w:rsidRDefault="001820B2" w:rsidP="0070161C">
      <w:pPr>
        <w:pStyle w:val="Tekstpodstawowy"/>
        <w:spacing w:before="2" w:line="288" w:lineRule="auto"/>
        <w:jc w:val="both"/>
        <w:rPr>
          <w:bCs/>
        </w:rPr>
      </w:pPr>
      <w:r w:rsidRPr="0080568D">
        <w:rPr>
          <w:bCs/>
        </w:rPr>
        <w:t>W</w:t>
      </w:r>
      <w:r w:rsidRPr="000459D6">
        <w:rPr>
          <w:bCs/>
        </w:rPr>
        <w:t xml:space="preserve"> roku 2021 notowaliśmy kontynuację wpływu pandemii spowodowanej wirusem </w:t>
      </w:r>
      <w:r w:rsidR="007F13D4">
        <w:rPr>
          <w:bCs/>
        </w:rPr>
        <w:t>SARS-CoV-2</w:t>
      </w:r>
      <w:r w:rsidRPr="000459D6">
        <w:rPr>
          <w:bCs/>
        </w:rPr>
        <w:t>. Powyższy wpływ dotyczył nie tylko sektora finansowego ale i całej gospodarki</w:t>
      </w:r>
      <w:r w:rsidR="000C5854">
        <w:rPr>
          <w:bCs/>
        </w:rPr>
        <w:t xml:space="preserve">, która dodatkowo </w:t>
      </w:r>
      <w:r w:rsidR="00D47A93">
        <w:rPr>
          <w:bCs/>
        </w:rPr>
        <w:t xml:space="preserve">poddawana jest </w:t>
      </w:r>
      <w:r w:rsidR="000C5854">
        <w:rPr>
          <w:bCs/>
        </w:rPr>
        <w:t>obecnie znacznej</w:t>
      </w:r>
      <w:r w:rsidR="00D47A93">
        <w:rPr>
          <w:bCs/>
        </w:rPr>
        <w:t xml:space="preserve"> próbie na skutek toczących się </w:t>
      </w:r>
      <w:r w:rsidR="000C5854">
        <w:rPr>
          <w:bCs/>
        </w:rPr>
        <w:t>wydarzeń</w:t>
      </w:r>
      <w:r w:rsidR="00D47A93">
        <w:rPr>
          <w:bCs/>
        </w:rPr>
        <w:t xml:space="preserve"> na wschód od granicy polskiej. </w:t>
      </w:r>
      <w:r w:rsidRPr="000459D6">
        <w:rPr>
          <w:bCs/>
        </w:rPr>
        <w:t>Na skutek rosnącej inflacji pod koniec roku sprawozdawczego doszło również do wzrostowego trendu stóp procentowych. Na tle zaistniałych zmian Bank wykazuje bardzo dobrą sytuację płynnościową oraz kapitałową, przewyższając znacznie wymagane poziomy regulacyjne. Celem Banku jest kontynuacja działań zmierzających do pozyskiwania, a następnie stopniowego zwiększania udziału długoterminowego finansowania poprzez emisję listów zastawnych. Powyższe działania muszą być jednak dostosowane do sytuacji zewnętrznej oraz możliwości rynku. Zachodzące na rynku zmiany na skutek zewnętrznych czynników są na bieżąco analizowane przez Zarząd Banku. Dotyczy to również rynku listów zastawnych jak i zmian w otoczeniu regulacyjnym oraz gospodarczym, a także sytuacji klientów. W minionym okresie sprawozdawczym Bank nabył portfel kredytów hipotecznych w wysokości ponad 0,7 mld zł. W ramach kontynuacji działań zmierzających do dywersyfikacji źródeł finansowania Bank w 2021 r. przeprowadził kolejne emisje obligacji własnych w łącznej wysokości 654 mln zł. Bank w roku sprawozdawczym, zgodnie z rekomendacją S, oraz celem ograniczania ryzyka zmiennej stopy procentowej wprowadził w połowie roku w swojej ofercie produkt na stałą stopę procentową umożliwiając tym samym swoim dotychczasowym klientom posiadającym kredyt oparty o zmienną stopę dokonania konwersji.</w:t>
      </w:r>
    </w:p>
    <w:p w14:paraId="1C67B744" w14:textId="77777777" w:rsidR="00C958EF" w:rsidRDefault="00C958EF" w:rsidP="0070161C">
      <w:pPr>
        <w:pStyle w:val="Tekstpodstawowy"/>
        <w:spacing w:before="2" w:line="288" w:lineRule="auto"/>
        <w:jc w:val="both"/>
        <w:rPr>
          <w:bCs/>
        </w:rPr>
      </w:pPr>
    </w:p>
    <w:p w14:paraId="5A50205F" w14:textId="77777777" w:rsidR="0080568D" w:rsidRPr="000459D6" w:rsidRDefault="0080568D" w:rsidP="0070161C">
      <w:pPr>
        <w:pStyle w:val="Tekstpodstawowy"/>
        <w:spacing w:before="2" w:line="288" w:lineRule="auto"/>
        <w:jc w:val="both"/>
        <w:rPr>
          <w:bCs/>
        </w:rPr>
      </w:pPr>
    </w:p>
    <w:p w14:paraId="1BA7BB80" w14:textId="6574773D" w:rsidR="003F0DA1" w:rsidRDefault="0010262B" w:rsidP="0070161C">
      <w:pPr>
        <w:pStyle w:val="Tekstpodstawowy"/>
        <w:spacing w:before="2" w:line="288" w:lineRule="auto"/>
        <w:jc w:val="both"/>
        <w:rPr>
          <w:bCs/>
        </w:rPr>
      </w:pPr>
      <w:r w:rsidRPr="000459D6">
        <w:rPr>
          <w:bCs/>
        </w:rPr>
        <w:lastRenderedPageBreak/>
        <w:t xml:space="preserve">Rada Nadzorcza sprawuje nadzór nad działalnością </w:t>
      </w:r>
      <w:r w:rsidR="003F0DA1" w:rsidRPr="000459D6">
        <w:rPr>
          <w:bCs/>
        </w:rPr>
        <w:t>Banku</w:t>
      </w:r>
      <w:r w:rsidRPr="000459D6">
        <w:rPr>
          <w:bCs/>
        </w:rPr>
        <w:t xml:space="preserve">, czuwając nad przestrzeganiem odpowiednich przepisów prawa </w:t>
      </w:r>
      <w:r w:rsidR="000800B1" w:rsidRPr="000459D6">
        <w:rPr>
          <w:bCs/>
        </w:rPr>
        <w:t xml:space="preserve">w szczególności </w:t>
      </w:r>
      <w:r w:rsidRPr="000459D6">
        <w:rPr>
          <w:bCs/>
        </w:rPr>
        <w:t>dotyczących rachunkowości, finansów oraz sprawozdawczości</w:t>
      </w:r>
      <w:r w:rsidR="000800B1" w:rsidRPr="000459D6">
        <w:rPr>
          <w:bCs/>
        </w:rPr>
        <w:t>.</w:t>
      </w:r>
      <w:r w:rsidRPr="000459D6">
        <w:rPr>
          <w:bCs/>
        </w:rPr>
        <w:t xml:space="preserve"> Do kompetencji Rady Nadzorczej należy także nadzór nad procesami związanymi z zarządzaniem poszczególnymi rodzajami ryzyka w ING Banku </w:t>
      </w:r>
      <w:r w:rsidR="003F0DA1" w:rsidRPr="000459D6">
        <w:rPr>
          <w:bCs/>
        </w:rPr>
        <w:t>Hipotecznym</w:t>
      </w:r>
      <w:r w:rsidRPr="000459D6">
        <w:rPr>
          <w:bCs/>
        </w:rPr>
        <w:t xml:space="preserve"> S.A. przy wsparciu Komitetu </w:t>
      </w:r>
      <w:r w:rsidR="003F0DA1" w:rsidRPr="000459D6">
        <w:rPr>
          <w:bCs/>
        </w:rPr>
        <w:t>Audytu i Ryzyka</w:t>
      </w:r>
      <w:r w:rsidRPr="000459D6">
        <w:rPr>
          <w:bCs/>
        </w:rPr>
        <w:t xml:space="preserve">. Na podstawie rekomendacji </w:t>
      </w:r>
      <w:r w:rsidR="003F0DA1" w:rsidRPr="000459D6">
        <w:rPr>
          <w:bCs/>
        </w:rPr>
        <w:t>Komitetu</w:t>
      </w:r>
      <w:r w:rsidRPr="000459D6">
        <w:rPr>
          <w:bCs/>
        </w:rPr>
        <w:t xml:space="preserve">, Rada Nadzorcza akceptuje i zatwierdza strategię zarządzania ryzykiem w działalności Banku, główne zasady polityki w tym zakresie, a także poziom apetytu na ryzyko. Ponadto, Rada Nadzorcza monitoruje poziom wykorzystania limitów wewnętrznych z perspektywy bieżącej strategii Banku. Komitet </w:t>
      </w:r>
      <w:r w:rsidR="003F0DA1" w:rsidRPr="000459D6">
        <w:rPr>
          <w:bCs/>
        </w:rPr>
        <w:t xml:space="preserve">Audytu i </w:t>
      </w:r>
      <w:r w:rsidRPr="000459D6">
        <w:rPr>
          <w:bCs/>
        </w:rPr>
        <w:t>Ryzyka zapewnia Radzie Nadzorczej wsparcie w zakresie monitorowania procesu zarządzania ryzykiem, w tym ryzykiem ope</w:t>
      </w:r>
      <w:r w:rsidR="003F0DA1" w:rsidRPr="000459D6">
        <w:rPr>
          <w:bCs/>
        </w:rPr>
        <w:t>racyjnym,</w:t>
      </w:r>
      <w:r w:rsidR="00E95B6C" w:rsidRPr="000459D6">
        <w:rPr>
          <w:bCs/>
        </w:rPr>
        <w:t xml:space="preserve"> braku zgodności,</w:t>
      </w:r>
      <w:r w:rsidR="003F0DA1" w:rsidRPr="000459D6">
        <w:rPr>
          <w:bCs/>
        </w:rPr>
        <w:t xml:space="preserve"> ryzykiem kredytowym i </w:t>
      </w:r>
      <w:r w:rsidRPr="000459D6">
        <w:rPr>
          <w:bCs/>
        </w:rPr>
        <w:t xml:space="preserve">ryzykiem rynkowym. Komitet pełni </w:t>
      </w:r>
      <w:r w:rsidR="00E95B6C" w:rsidRPr="000459D6">
        <w:rPr>
          <w:bCs/>
        </w:rPr>
        <w:t>również nadzór</w:t>
      </w:r>
      <w:r w:rsidRPr="000459D6">
        <w:rPr>
          <w:bCs/>
        </w:rPr>
        <w:t xml:space="preserve"> nad: </w:t>
      </w:r>
      <w:r w:rsidR="00876AC7" w:rsidRPr="000459D6">
        <w:rPr>
          <w:bCs/>
        </w:rPr>
        <w:t xml:space="preserve">procesem </w:t>
      </w:r>
      <w:r w:rsidRPr="000459D6">
        <w:rPr>
          <w:bCs/>
        </w:rPr>
        <w:t>szacowani</w:t>
      </w:r>
      <w:r w:rsidR="00876AC7" w:rsidRPr="000459D6">
        <w:rPr>
          <w:bCs/>
        </w:rPr>
        <w:t>a</w:t>
      </w:r>
      <w:r w:rsidRPr="000459D6">
        <w:rPr>
          <w:bCs/>
        </w:rPr>
        <w:t xml:space="preserve"> kapitału wewnętrznego, </w:t>
      </w:r>
      <w:r w:rsidR="00876AC7" w:rsidRPr="000459D6">
        <w:rPr>
          <w:bCs/>
        </w:rPr>
        <w:t xml:space="preserve">procesem oceny </w:t>
      </w:r>
      <w:r w:rsidRPr="000459D6">
        <w:rPr>
          <w:bCs/>
        </w:rPr>
        <w:t xml:space="preserve">adekwatności kapitałowej oraz </w:t>
      </w:r>
      <w:r w:rsidR="00876AC7" w:rsidRPr="000459D6">
        <w:rPr>
          <w:bCs/>
        </w:rPr>
        <w:t xml:space="preserve">nad </w:t>
      </w:r>
      <w:r w:rsidRPr="000459D6">
        <w:rPr>
          <w:bCs/>
        </w:rPr>
        <w:t>ryzyk</w:t>
      </w:r>
      <w:r w:rsidR="00876AC7" w:rsidRPr="000459D6">
        <w:rPr>
          <w:bCs/>
        </w:rPr>
        <w:t>iem</w:t>
      </w:r>
      <w:r w:rsidRPr="000459D6">
        <w:rPr>
          <w:bCs/>
        </w:rPr>
        <w:t xml:space="preserve"> modeli zwią</w:t>
      </w:r>
      <w:r w:rsidR="003F0DA1" w:rsidRPr="000459D6">
        <w:rPr>
          <w:bCs/>
        </w:rPr>
        <w:t>zan</w:t>
      </w:r>
      <w:r w:rsidR="00876AC7" w:rsidRPr="000459D6">
        <w:rPr>
          <w:bCs/>
        </w:rPr>
        <w:t>ych</w:t>
      </w:r>
      <w:r w:rsidR="003F0DA1" w:rsidRPr="000459D6">
        <w:rPr>
          <w:bCs/>
        </w:rPr>
        <w:t xml:space="preserve"> z</w:t>
      </w:r>
      <w:r w:rsidR="00E95B6C" w:rsidRPr="000459D6">
        <w:rPr>
          <w:bCs/>
        </w:rPr>
        <w:t> </w:t>
      </w:r>
      <w:r w:rsidR="00876AC7" w:rsidRPr="000459D6">
        <w:rPr>
          <w:bCs/>
        </w:rPr>
        <w:t xml:space="preserve">kalkulacją </w:t>
      </w:r>
      <w:r w:rsidRPr="000459D6">
        <w:rPr>
          <w:bCs/>
        </w:rPr>
        <w:t>kapitał</w:t>
      </w:r>
      <w:r w:rsidR="00876AC7" w:rsidRPr="000459D6">
        <w:rPr>
          <w:bCs/>
        </w:rPr>
        <w:t>u oraz</w:t>
      </w:r>
      <w:r w:rsidRPr="000459D6">
        <w:rPr>
          <w:bCs/>
        </w:rPr>
        <w:t xml:space="preserve"> i innych modeli. Komitet wyraża </w:t>
      </w:r>
      <w:r w:rsidR="009E414F" w:rsidRPr="000459D6">
        <w:rPr>
          <w:bCs/>
        </w:rPr>
        <w:t>swoją opinię na </w:t>
      </w:r>
      <w:r w:rsidRPr="000459D6">
        <w:rPr>
          <w:bCs/>
        </w:rPr>
        <w:t xml:space="preserve">temat całościowej gotowości Banku do podejmowania ryzyka w bieżącej i długoterminowej perspektywie. </w:t>
      </w:r>
    </w:p>
    <w:p w14:paraId="400F4F7A" w14:textId="77777777" w:rsidR="0080568D" w:rsidRPr="000459D6" w:rsidRDefault="0080568D" w:rsidP="0070161C">
      <w:pPr>
        <w:pStyle w:val="Tekstpodstawowy"/>
        <w:spacing w:before="2" w:line="288" w:lineRule="auto"/>
        <w:jc w:val="both"/>
        <w:rPr>
          <w:bCs/>
        </w:rPr>
      </w:pPr>
    </w:p>
    <w:p w14:paraId="2D316604" w14:textId="19F69137" w:rsidR="006766F7" w:rsidRDefault="003F0DA1" w:rsidP="0070161C">
      <w:pPr>
        <w:pStyle w:val="Tekstpodstawowy"/>
        <w:spacing w:before="2" w:line="288" w:lineRule="auto"/>
        <w:jc w:val="both"/>
        <w:rPr>
          <w:bCs/>
        </w:rPr>
      </w:pPr>
      <w:r w:rsidRPr="000459D6">
        <w:rPr>
          <w:bCs/>
        </w:rPr>
        <w:t>Podobnie</w:t>
      </w:r>
      <w:r w:rsidR="000800B1" w:rsidRPr="000459D6">
        <w:rPr>
          <w:bCs/>
        </w:rPr>
        <w:t>, do zadań Komitetu należy</w:t>
      </w:r>
      <w:r w:rsidRPr="000459D6">
        <w:rPr>
          <w:bCs/>
        </w:rPr>
        <w:t xml:space="preserve"> m</w:t>
      </w:r>
      <w:r w:rsidR="0010262B" w:rsidRPr="000459D6">
        <w:rPr>
          <w:bCs/>
        </w:rPr>
        <w:t xml:space="preserve">onitorowanie procesu sprawozdawczości finansowej. W tym </w:t>
      </w:r>
      <w:r w:rsidRPr="000459D6">
        <w:rPr>
          <w:bCs/>
        </w:rPr>
        <w:t xml:space="preserve">kontekście, Komitet </w:t>
      </w:r>
      <w:r w:rsidR="0010262B" w:rsidRPr="000459D6">
        <w:rPr>
          <w:bCs/>
        </w:rPr>
        <w:t xml:space="preserve">cyklicznie analizuje sprawozdania finansowe Banku oraz wyniki badania </w:t>
      </w:r>
      <w:r w:rsidR="006766F7" w:rsidRPr="000459D6">
        <w:rPr>
          <w:bCs/>
        </w:rPr>
        <w:t xml:space="preserve">tych sprawozdań. </w:t>
      </w:r>
      <w:r w:rsidR="0010262B" w:rsidRPr="000459D6">
        <w:rPr>
          <w:bCs/>
        </w:rPr>
        <w:t>Komitet Audytu</w:t>
      </w:r>
      <w:r w:rsidR="006766F7" w:rsidRPr="000459D6">
        <w:rPr>
          <w:bCs/>
        </w:rPr>
        <w:t xml:space="preserve"> i Ryzyka</w:t>
      </w:r>
      <w:r w:rsidR="0010262B" w:rsidRPr="000459D6">
        <w:rPr>
          <w:bCs/>
        </w:rPr>
        <w:t xml:space="preserve"> analizuje także wyniki prac podmiotu uprawnionego do badania sprawozdań finansowych, czuwając nad jego niezależnością i efektywnością. Ponadto, Komitet monitoruje skuteczność systemów kontroli wewnętrznej oraz audytu wewnętrznego, a także dokonuje oceny skuteczności środków stosowanych w celu ograniczania ry</w:t>
      </w:r>
      <w:r w:rsidR="006766F7" w:rsidRPr="000459D6">
        <w:rPr>
          <w:bCs/>
        </w:rPr>
        <w:t xml:space="preserve">zyka braku zgodności oraz oceny </w:t>
      </w:r>
      <w:r w:rsidR="0010262B" w:rsidRPr="000459D6">
        <w:rPr>
          <w:bCs/>
        </w:rPr>
        <w:t xml:space="preserve">jakości zarządzania tym ryzykiem. </w:t>
      </w:r>
    </w:p>
    <w:p w14:paraId="232DABCC" w14:textId="77777777" w:rsidR="0080568D" w:rsidRPr="000459D6" w:rsidRDefault="0080568D" w:rsidP="0070161C">
      <w:pPr>
        <w:pStyle w:val="Tekstpodstawowy"/>
        <w:spacing w:before="2" w:line="288" w:lineRule="auto"/>
        <w:jc w:val="both"/>
        <w:rPr>
          <w:bCs/>
        </w:rPr>
      </w:pPr>
    </w:p>
    <w:p w14:paraId="48E614D9" w14:textId="77777777" w:rsidR="00EC457A" w:rsidRPr="000459D6" w:rsidRDefault="0010262B" w:rsidP="0070161C">
      <w:pPr>
        <w:pStyle w:val="Tekstpodstawowy"/>
        <w:spacing w:before="2" w:line="288" w:lineRule="auto"/>
        <w:jc w:val="both"/>
        <w:rPr>
          <w:bCs/>
        </w:rPr>
      </w:pPr>
      <w:r w:rsidRPr="000459D6">
        <w:rPr>
          <w:bCs/>
        </w:rPr>
        <w:t xml:space="preserve">Zdaniem Rady Nadzorczej, system zarządzania ryzykiem w ING Banku </w:t>
      </w:r>
      <w:r w:rsidR="006766F7" w:rsidRPr="000459D6">
        <w:rPr>
          <w:bCs/>
        </w:rPr>
        <w:t>Hipotecznym</w:t>
      </w:r>
      <w:r w:rsidRPr="000459D6">
        <w:rPr>
          <w:bCs/>
        </w:rPr>
        <w:t xml:space="preserve"> S.A. obejmuje wszystkie istotne rodzaje ryzyka, a w procesach ich identyfikacji, pomiaru, zarządzania i raportowania wykorzystywane są instrumenty i techniki właściwe dla danego rodza</w:t>
      </w:r>
      <w:r w:rsidR="006766F7" w:rsidRPr="000459D6">
        <w:rPr>
          <w:bCs/>
        </w:rPr>
        <w:t xml:space="preserve">ju ryzyka. </w:t>
      </w:r>
    </w:p>
    <w:p w14:paraId="4194433E" w14:textId="1BDC2BF2" w:rsidR="0010262B" w:rsidRPr="000459D6" w:rsidRDefault="006766F7" w:rsidP="0070161C">
      <w:pPr>
        <w:pStyle w:val="Tekstpodstawowy"/>
        <w:spacing w:before="2" w:line="288" w:lineRule="auto"/>
        <w:jc w:val="both"/>
        <w:rPr>
          <w:bCs/>
        </w:rPr>
      </w:pPr>
      <w:r w:rsidRPr="000459D6">
        <w:rPr>
          <w:bCs/>
        </w:rPr>
        <w:t xml:space="preserve">W </w:t>
      </w:r>
      <w:r w:rsidR="00A03D21" w:rsidRPr="000459D6">
        <w:rPr>
          <w:bCs/>
        </w:rPr>
        <w:t>2021</w:t>
      </w:r>
      <w:r w:rsidR="0010262B" w:rsidRPr="000459D6">
        <w:rPr>
          <w:bCs/>
        </w:rPr>
        <w:t xml:space="preserve"> roku ING Bank </w:t>
      </w:r>
      <w:r w:rsidRPr="000459D6">
        <w:rPr>
          <w:bCs/>
        </w:rPr>
        <w:t>Hipoteczny</w:t>
      </w:r>
      <w:r w:rsidR="0010262B" w:rsidRPr="000459D6">
        <w:rPr>
          <w:bCs/>
        </w:rPr>
        <w:t xml:space="preserve"> S.A. spełniał wymogi bezpiecznego działania i adekwatności kapitałowej, a w szczególności:</w:t>
      </w:r>
    </w:p>
    <w:p w14:paraId="67016362" w14:textId="77777777" w:rsidR="00876AC7" w:rsidRPr="000459D6" w:rsidRDefault="00876AC7" w:rsidP="0070161C">
      <w:pPr>
        <w:pStyle w:val="Tekstpodstawowy"/>
        <w:spacing w:before="2" w:line="288" w:lineRule="auto"/>
        <w:jc w:val="both"/>
        <w:rPr>
          <w:bCs/>
        </w:rPr>
      </w:pPr>
    </w:p>
    <w:p w14:paraId="3E8D646F" w14:textId="1C60C66C" w:rsidR="00C02B46" w:rsidRPr="0036744E" w:rsidRDefault="00C02B46" w:rsidP="00C02B46">
      <w:pPr>
        <w:pStyle w:val="Tekstpodstawowy"/>
        <w:numPr>
          <w:ilvl w:val="0"/>
          <w:numId w:val="17"/>
        </w:numPr>
        <w:spacing w:before="2" w:line="288" w:lineRule="auto"/>
        <w:jc w:val="both"/>
        <w:rPr>
          <w:bCs/>
        </w:rPr>
      </w:pPr>
      <w:r w:rsidRPr="00B50F4B">
        <w:rPr>
          <w:bCs/>
        </w:rPr>
        <w:t xml:space="preserve">prowadził ostrożną politykę kredytową – Bank posiadał w swoim portfelu tylko kredyty udzielone w </w:t>
      </w:r>
      <w:r>
        <w:rPr>
          <w:bCs/>
        </w:rPr>
        <w:t>polskich złotych</w:t>
      </w:r>
      <w:r w:rsidRPr="00B50F4B">
        <w:rPr>
          <w:bCs/>
        </w:rPr>
        <w:t xml:space="preserve"> (PLN). Procesy i procedury kredytowe b</w:t>
      </w:r>
      <w:r w:rsidRPr="0036744E">
        <w:rPr>
          <w:bCs/>
        </w:rPr>
        <w:t xml:space="preserve">yły zgodne z wymogami nadzorczymi i z najlepszymi </w:t>
      </w:r>
      <w:r>
        <w:rPr>
          <w:bCs/>
        </w:rPr>
        <w:t>praktykami</w:t>
      </w:r>
      <w:r w:rsidRPr="0036744E">
        <w:rPr>
          <w:bCs/>
        </w:rPr>
        <w:t xml:space="preserve"> występującymi na rynku. Od lipca 2021 Bank umożliwił klientom konwersję oprocentowania ze zmiennej na stałą stopę oprocentowania. Bank posiadał zdywersyfikowany portfel kredytowy o bardzo dobrej jakości</w:t>
      </w:r>
      <w:r w:rsidR="0026115D">
        <w:rPr>
          <w:bCs/>
        </w:rPr>
        <w:t>.</w:t>
      </w:r>
      <w:r w:rsidRPr="0036744E">
        <w:rPr>
          <w:bCs/>
        </w:rPr>
        <w:t xml:space="preserve"> Udział kredytów niepracujących na koniec 2021 r.</w:t>
      </w:r>
      <w:r>
        <w:rPr>
          <w:bCs/>
        </w:rPr>
        <w:t xml:space="preserve"> wynosił </w:t>
      </w:r>
      <w:r w:rsidRPr="0036744E">
        <w:rPr>
          <w:bCs/>
        </w:rPr>
        <w:t xml:space="preserve"> istotnie mniej niż średni</w:t>
      </w:r>
      <w:r>
        <w:rPr>
          <w:bCs/>
        </w:rPr>
        <w:t>a</w:t>
      </w:r>
      <w:r w:rsidRPr="0036744E">
        <w:rPr>
          <w:bCs/>
        </w:rPr>
        <w:t xml:space="preserve"> w całym sektorze bankowym</w:t>
      </w:r>
      <w:r>
        <w:rPr>
          <w:bCs/>
        </w:rPr>
        <w:t xml:space="preserve">. </w:t>
      </w:r>
      <w:r w:rsidRPr="0036744E">
        <w:rPr>
          <w:bCs/>
        </w:rPr>
        <w:t xml:space="preserve"> W całym 2021r. nie odnotowano przekroczeń </w:t>
      </w:r>
      <w:r w:rsidR="0051168E">
        <w:rPr>
          <w:bCs/>
        </w:rPr>
        <w:t xml:space="preserve">wyznaczonych </w:t>
      </w:r>
      <w:r w:rsidRPr="0036744E">
        <w:rPr>
          <w:bCs/>
        </w:rPr>
        <w:t>limitów w zakresie ryzyka kredytowego;</w:t>
      </w:r>
    </w:p>
    <w:p w14:paraId="4871B8C9" w14:textId="1D76FA5E" w:rsidR="000800B1" w:rsidRPr="000459D6" w:rsidRDefault="000800B1" w:rsidP="0070161C">
      <w:pPr>
        <w:pStyle w:val="Tekstpodstawowy"/>
        <w:spacing w:before="2" w:line="288" w:lineRule="auto"/>
        <w:ind w:left="720"/>
        <w:jc w:val="both"/>
        <w:rPr>
          <w:bCs/>
        </w:rPr>
      </w:pPr>
    </w:p>
    <w:p w14:paraId="445DB422" w14:textId="33977D97" w:rsidR="00823148" w:rsidRDefault="00823148" w:rsidP="00823148">
      <w:pPr>
        <w:pStyle w:val="Tekstpodstawowy"/>
        <w:numPr>
          <w:ilvl w:val="0"/>
          <w:numId w:val="17"/>
        </w:numPr>
        <w:spacing w:before="2" w:line="288" w:lineRule="auto"/>
        <w:jc w:val="both"/>
        <w:rPr>
          <w:bCs/>
        </w:rPr>
      </w:pPr>
      <w:r w:rsidRPr="000800B1">
        <w:rPr>
          <w:bCs/>
        </w:rPr>
        <w:t>posiadał spełniające standardy ry</w:t>
      </w:r>
      <w:r>
        <w:rPr>
          <w:bCs/>
        </w:rPr>
        <w:t xml:space="preserve">nkowe, polityki </w:t>
      </w:r>
      <w:r w:rsidRPr="000800B1">
        <w:rPr>
          <w:bCs/>
        </w:rPr>
        <w:t>i systemy w obszarze zar</w:t>
      </w:r>
      <w:r>
        <w:rPr>
          <w:bCs/>
        </w:rPr>
        <w:t>ządzania ryzykiem rynkowym</w:t>
      </w:r>
      <w:r w:rsidRPr="000800B1">
        <w:rPr>
          <w:bCs/>
        </w:rPr>
        <w:t xml:space="preserve">. W ciągu </w:t>
      </w:r>
      <w:r>
        <w:rPr>
          <w:bCs/>
        </w:rPr>
        <w:t>2021</w:t>
      </w:r>
      <w:r w:rsidRPr="000800B1">
        <w:rPr>
          <w:bCs/>
        </w:rPr>
        <w:t xml:space="preserve"> roku </w:t>
      </w:r>
      <w:r>
        <w:rPr>
          <w:bCs/>
        </w:rPr>
        <w:t>poziom ryzyka rynkowego kształtował się znacznie poniżej limitów regulacyjnych i wewnętrznych;</w:t>
      </w:r>
    </w:p>
    <w:p w14:paraId="0DB317F4" w14:textId="35FC806B" w:rsidR="009E414F" w:rsidRPr="000459D6" w:rsidRDefault="009E414F" w:rsidP="0070161C">
      <w:pPr>
        <w:pStyle w:val="Tekstpodstawowy"/>
        <w:spacing w:before="2" w:line="288" w:lineRule="auto"/>
        <w:jc w:val="both"/>
        <w:rPr>
          <w:bCs/>
        </w:rPr>
      </w:pPr>
    </w:p>
    <w:p w14:paraId="2E3DC9D0" w14:textId="0B56770B" w:rsidR="00823148" w:rsidRPr="00E95B6C" w:rsidRDefault="00823148" w:rsidP="00823148">
      <w:pPr>
        <w:pStyle w:val="Tekstpodstawowy"/>
        <w:numPr>
          <w:ilvl w:val="0"/>
          <w:numId w:val="17"/>
        </w:numPr>
        <w:spacing w:before="2" w:line="288" w:lineRule="auto"/>
        <w:jc w:val="both"/>
        <w:rPr>
          <w:bCs/>
        </w:rPr>
      </w:pPr>
      <w:r w:rsidRPr="000800B1">
        <w:rPr>
          <w:bCs/>
        </w:rPr>
        <w:t xml:space="preserve">utrzymywał </w:t>
      </w:r>
      <w:r>
        <w:rPr>
          <w:bCs/>
        </w:rPr>
        <w:t>stabilną</w:t>
      </w:r>
      <w:r w:rsidRPr="000800B1">
        <w:rPr>
          <w:bCs/>
        </w:rPr>
        <w:t xml:space="preserve"> sytuację płynnościową. </w:t>
      </w:r>
      <w:r>
        <w:rPr>
          <w:bCs/>
        </w:rPr>
        <w:t>W 2021 roku nadzorcze miary płynnościowe kształtowały się powyżej limitów regulacyjnych, wyniki testów warunków skrajnych pokazują dobrą sytuację płynnościową Banku;</w:t>
      </w:r>
    </w:p>
    <w:p w14:paraId="22309B2B" w14:textId="77777777" w:rsidR="00876AC7" w:rsidRPr="000459D6" w:rsidRDefault="00876AC7" w:rsidP="0070161C">
      <w:pPr>
        <w:pStyle w:val="Tekstpodstawowy"/>
        <w:spacing w:before="2" w:line="288" w:lineRule="auto"/>
        <w:ind w:left="720"/>
        <w:jc w:val="both"/>
        <w:rPr>
          <w:bCs/>
        </w:rPr>
      </w:pPr>
    </w:p>
    <w:p w14:paraId="560BD1A3" w14:textId="6A542376" w:rsidR="0026115D" w:rsidRDefault="0026115D" w:rsidP="00895A0B">
      <w:pPr>
        <w:pStyle w:val="Akapitzlist"/>
      </w:pPr>
    </w:p>
    <w:p w14:paraId="1E764A16" w14:textId="725454A2" w:rsidR="0026115D" w:rsidRDefault="0026115D" w:rsidP="0026115D">
      <w:pPr>
        <w:pStyle w:val="Default"/>
        <w:numPr>
          <w:ilvl w:val="0"/>
          <w:numId w:val="17"/>
        </w:numPr>
        <w:rPr>
          <w:sz w:val="20"/>
          <w:szCs w:val="20"/>
        </w:rPr>
      </w:pPr>
      <w:r>
        <w:rPr>
          <w:sz w:val="20"/>
          <w:szCs w:val="20"/>
        </w:rPr>
        <w:lastRenderedPageBreak/>
        <w:t xml:space="preserve">skutecznie zarządzał ryzykiem operacyjnym, w tym ryzykiem modeli, w granicach przyjętego apetytu na ryzyko, spełniając w tym zakresie standardy rynkowe; </w:t>
      </w:r>
    </w:p>
    <w:p w14:paraId="38AB1818" w14:textId="77777777" w:rsidR="00C77D7D" w:rsidRPr="000459D6" w:rsidRDefault="00C77D7D" w:rsidP="0070161C">
      <w:pPr>
        <w:pStyle w:val="Akapitzlist"/>
        <w:spacing w:line="288" w:lineRule="auto"/>
        <w:rPr>
          <w:bCs/>
        </w:rPr>
      </w:pPr>
    </w:p>
    <w:p w14:paraId="1F627DBB" w14:textId="421331B7" w:rsidR="003F0DA1" w:rsidRPr="000459D6" w:rsidRDefault="0010262B" w:rsidP="0070161C">
      <w:pPr>
        <w:pStyle w:val="Tekstpodstawowy"/>
        <w:numPr>
          <w:ilvl w:val="0"/>
          <w:numId w:val="17"/>
        </w:numPr>
        <w:spacing w:before="2" w:line="288" w:lineRule="auto"/>
        <w:jc w:val="both"/>
        <w:rPr>
          <w:bCs/>
        </w:rPr>
      </w:pPr>
      <w:r w:rsidRPr="000459D6">
        <w:rPr>
          <w:bCs/>
        </w:rPr>
        <w:t xml:space="preserve">dysponował adekwatnym poziomem kapitałów własnych, pozwalającym spełnić wymagania nadzorcze. </w:t>
      </w:r>
    </w:p>
    <w:p w14:paraId="3AADDFFD" w14:textId="77777777" w:rsidR="003F0DA1" w:rsidRPr="000459D6" w:rsidRDefault="003F0DA1" w:rsidP="0070161C">
      <w:pPr>
        <w:pStyle w:val="Tekstpodstawowy"/>
        <w:spacing w:before="2" w:line="288" w:lineRule="auto"/>
        <w:jc w:val="both"/>
        <w:rPr>
          <w:bCs/>
        </w:rPr>
      </w:pPr>
    </w:p>
    <w:p w14:paraId="1AB6BCF5" w14:textId="77777777" w:rsidR="0026115D" w:rsidRDefault="0026115D" w:rsidP="00E53A39">
      <w:pPr>
        <w:pStyle w:val="Tekstpodstawowy"/>
        <w:spacing w:before="2" w:line="288" w:lineRule="auto"/>
        <w:jc w:val="both"/>
        <w:rPr>
          <w:bCs/>
        </w:rPr>
      </w:pPr>
    </w:p>
    <w:p w14:paraId="3F01531A" w14:textId="41D23DCE" w:rsidR="00E53A39" w:rsidRDefault="00E53A39" w:rsidP="00E53A39">
      <w:pPr>
        <w:pStyle w:val="Tekstpodstawowy"/>
        <w:spacing w:before="2" w:line="288" w:lineRule="auto"/>
        <w:jc w:val="both"/>
        <w:rPr>
          <w:bCs/>
        </w:rPr>
      </w:pPr>
      <w:r w:rsidRPr="000459D6">
        <w:rPr>
          <w:bCs/>
        </w:rPr>
        <w:t xml:space="preserve">W ING Banku Hipotecznym S.A. funkcjonuje System Kontroli Wewnętrznej obejmujący wszystkie jednostki organizacyjne Banku i wszystkie trzy linie obrony. Główne cele Systemu Kontroli Wewnętrznej zostały w 2021 roku osiągnięte. </w:t>
      </w:r>
    </w:p>
    <w:p w14:paraId="30DDF160" w14:textId="44522FB5" w:rsidR="00E53A39" w:rsidRDefault="00E53A39" w:rsidP="00E53A39">
      <w:pPr>
        <w:pStyle w:val="Tekstpodstawowy"/>
        <w:spacing w:before="2" w:line="288" w:lineRule="auto"/>
        <w:jc w:val="both"/>
        <w:rPr>
          <w:bCs/>
        </w:rPr>
      </w:pPr>
      <w:r w:rsidRPr="000459D6">
        <w:rPr>
          <w:bCs/>
        </w:rPr>
        <w:t xml:space="preserve">W Banku funkcjonuje sformalizowana ścieżka raportowania skali oraz charakteru zidentyfikowanych nieprawidłowości, jak również statusu podejmowanych działań naprawczych i środków dyscyplinujących. W szczególności, informacja o otwartych rekomendacjach krytycznego i wysokiego ryzyka (jeśli występują) przekazywana jest kwartalnie Komitetowi Audytu i Ryzyka. Działania naprawcze są zaplanowane, realizowane, a ich status na bieżąco monitorowany. </w:t>
      </w:r>
    </w:p>
    <w:p w14:paraId="5F988906" w14:textId="3999DD68" w:rsidR="00823148" w:rsidRDefault="00E53A39" w:rsidP="00823148">
      <w:pPr>
        <w:pStyle w:val="Tekstpodstawowy"/>
        <w:spacing w:before="2" w:line="288" w:lineRule="auto"/>
        <w:jc w:val="both"/>
        <w:rPr>
          <w:bCs/>
        </w:rPr>
      </w:pPr>
      <w:r w:rsidRPr="000459D6">
        <w:rPr>
          <w:bCs/>
        </w:rPr>
        <w:t xml:space="preserve">W obszarze Komórki ds. Zgodności, zapewnione zostały odpowiednie zasoby kadrowe, niezbędne do skutecznego wykonywania zadań przez tę jednostkę w 2021 r. </w:t>
      </w:r>
      <w:r w:rsidR="00823148" w:rsidRPr="00823148">
        <w:rPr>
          <w:bCs/>
        </w:rPr>
        <w:t xml:space="preserve">W obszarze działań Stanowiska Audytu Wewnętrznego zwiększono zatrudnienie do dwóch osób, realizując zalecenie poinspekcyjne KNF. Także zalecenie poinspekcyjne dotyczące podziału kompetencji członków Zarządu zostało wdrożone i zamknięte w 2021 roku. </w:t>
      </w:r>
    </w:p>
    <w:p w14:paraId="5F9F7E04" w14:textId="77777777" w:rsidR="00823148" w:rsidRDefault="00823148" w:rsidP="00823148">
      <w:pPr>
        <w:pStyle w:val="Tekstpodstawowy"/>
        <w:spacing w:before="2" w:line="288" w:lineRule="auto"/>
        <w:jc w:val="both"/>
        <w:rPr>
          <w:bCs/>
        </w:rPr>
      </w:pPr>
      <w:r w:rsidRPr="00823148">
        <w:rPr>
          <w:bCs/>
        </w:rPr>
        <w:t>W 2021 roku nie zidentyfikowano innych luk w zakresie niezależności i zasobów Komórki ds. Zgodności oraz Stanowiska Audytu Wewnętrznego.</w:t>
      </w:r>
    </w:p>
    <w:p w14:paraId="67C131E8" w14:textId="6BDC35DF" w:rsidR="00E53A39" w:rsidRPr="000459D6" w:rsidRDefault="00E53A39" w:rsidP="00823148">
      <w:pPr>
        <w:pStyle w:val="Tekstpodstawowy"/>
        <w:spacing w:before="2" w:line="288" w:lineRule="auto"/>
        <w:jc w:val="both"/>
        <w:rPr>
          <w:bCs/>
        </w:rPr>
      </w:pPr>
      <w:r w:rsidRPr="000459D6">
        <w:rPr>
          <w:bCs/>
        </w:rPr>
        <w:t xml:space="preserve">Funkcjonujący w Banku system kontroli wewnętrznej wystarczająco </w:t>
      </w:r>
      <w:r w:rsidR="00A404B6">
        <w:rPr>
          <w:bCs/>
        </w:rPr>
        <w:t xml:space="preserve">i </w:t>
      </w:r>
      <w:r w:rsidRPr="000459D6">
        <w:rPr>
          <w:bCs/>
        </w:rPr>
        <w:t>skutecznie zabezpiecza Bank przed nieoczekiwanymi zdarzeniami w zakresie udzielonego finansowania, ryzyka niefinansowego, ryzyka rynkowego, płynności czy adekwatności kapitałowej.</w:t>
      </w:r>
    </w:p>
    <w:p w14:paraId="2011DC65" w14:textId="50199E47" w:rsidR="004B1BE2" w:rsidRDefault="004B1BE2" w:rsidP="0070161C">
      <w:pPr>
        <w:pStyle w:val="Tekstpodstawowy"/>
        <w:spacing w:before="2" w:line="288" w:lineRule="auto"/>
        <w:jc w:val="both"/>
        <w:rPr>
          <w:bCs/>
        </w:rPr>
      </w:pPr>
      <w:r w:rsidRPr="000459D6">
        <w:rPr>
          <w:bCs/>
        </w:rPr>
        <w:t xml:space="preserve">W grudniu </w:t>
      </w:r>
      <w:r w:rsidR="00A03D21" w:rsidRPr="000459D6">
        <w:rPr>
          <w:bCs/>
        </w:rPr>
        <w:t>2021</w:t>
      </w:r>
      <w:r w:rsidRPr="000459D6">
        <w:rPr>
          <w:bCs/>
        </w:rPr>
        <w:t xml:space="preserve"> roku łączny współczynnik kapitałowy ING Banku Hipotecznego S.A. ukształtował się na poziomie </w:t>
      </w:r>
      <w:r w:rsidR="00963FB0" w:rsidRPr="000459D6">
        <w:rPr>
          <w:bCs/>
        </w:rPr>
        <w:t>30,</w:t>
      </w:r>
      <w:r w:rsidR="00823284" w:rsidRPr="000459D6">
        <w:rPr>
          <w:bCs/>
        </w:rPr>
        <w:t>43</w:t>
      </w:r>
      <w:r w:rsidRPr="000459D6">
        <w:rPr>
          <w:bCs/>
        </w:rPr>
        <w:t xml:space="preserve">%. </w:t>
      </w:r>
    </w:p>
    <w:p w14:paraId="01D9EDAD" w14:textId="77777777" w:rsidR="005D2F60" w:rsidRPr="000459D6" w:rsidRDefault="005D2F60" w:rsidP="0070161C">
      <w:pPr>
        <w:pStyle w:val="Tekstpodstawowy"/>
        <w:spacing w:before="2" w:line="288" w:lineRule="auto"/>
        <w:jc w:val="both"/>
        <w:rPr>
          <w:bCs/>
        </w:rPr>
      </w:pPr>
    </w:p>
    <w:p w14:paraId="6E002914" w14:textId="4E06AE5A" w:rsidR="003F0DA1" w:rsidRDefault="00E95B6C" w:rsidP="0070161C">
      <w:pPr>
        <w:pStyle w:val="Tekstpodstawowy"/>
        <w:spacing w:before="2" w:line="288" w:lineRule="auto"/>
        <w:jc w:val="both"/>
        <w:rPr>
          <w:bCs/>
        </w:rPr>
      </w:pPr>
      <w:r w:rsidRPr="000459D6">
        <w:rPr>
          <w:bCs/>
        </w:rPr>
        <w:t>Z</w:t>
      </w:r>
      <w:r w:rsidR="003F0DA1" w:rsidRPr="000459D6">
        <w:rPr>
          <w:bCs/>
        </w:rPr>
        <w:t xml:space="preserve">daniem Rady Nadzorczej, uwaga Banku </w:t>
      </w:r>
      <w:r w:rsidR="00A404B6">
        <w:rPr>
          <w:bCs/>
        </w:rPr>
        <w:t xml:space="preserve">nadal </w:t>
      </w:r>
      <w:r w:rsidR="003F0DA1" w:rsidRPr="000459D6">
        <w:rPr>
          <w:bCs/>
        </w:rPr>
        <w:t xml:space="preserve">powinna być skoncentrowana na działaniach </w:t>
      </w:r>
      <w:r w:rsidR="00A404B6">
        <w:rPr>
          <w:bCs/>
        </w:rPr>
        <w:t xml:space="preserve">określonych w strategii Banku  z </w:t>
      </w:r>
      <w:r w:rsidRPr="000459D6">
        <w:rPr>
          <w:bCs/>
        </w:rPr>
        <w:t>zachowani</w:t>
      </w:r>
      <w:r w:rsidR="00A404B6">
        <w:rPr>
          <w:bCs/>
        </w:rPr>
        <w:t xml:space="preserve">em bezpiecznego podejścia do zarządzania Bankiem, </w:t>
      </w:r>
      <w:r w:rsidR="000E1763">
        <w:rPr>
          <w:bCs/>
        </w:rPr>
        <w:t>jak</w:t>
      </w:r>
      <w:r w:rsidR="00A404B6">
        <w:rPr>
          <w:bCs/>
        </w:rPr>
        <w:t xml:space="preserve"> m.in.:</w:t>
      </w:r>
      <w:r w:rsidR="003F0DA1" w:rsidRPr="000459D6">
        <w:rPr>
          <w:bCs/>
        </w:rPr>
        <w:t xml:space="preserve"> </w:t>
      </w:r>
    </w:p>
    <w:p w14:paraId="49521A1F" w14:textId="77777777" w:rsidR="00823148" w:rsidRPr="000459D6" w:rsidRDefault="00823148" w:rsidP="0070161C">
      <w:pPr>
        <w:pStyle w:val="Tekstpodstawowy"/>
        <w:spacing w:before="2" w:line="288" w:lineRule="auto"/>
        <w:jc w:val="both"/>
        <w:rPr>
          <w:bCs/>
        </w:rPr>
      </w:pPr>
    </w:p>
    <w:p w14:paraId="5F6D8C89" w14:textId="606D32B2" w:rsidR="003F0DA1" w:rsidRPr="000459D6" w:rsidRDefault="003F0DA1" w:rsidP="0070161C">
      <w:pPr>
        <w:pStyle w:val="Tekstpodstawowy"/>
        <w:numPr>
          <w:ilvl w:val="0"/>
          <w:numId w:val="18"/>
        </w:numPr>
        <w:spacing w:before="2" w:line="288" w:lineRule="auto"/>
        <w:jc w:val="both"/>
        <w:rPr>
          <w:bCs/>
        </w:rPr>
      </w:pPr>
      <w:r w:rsidRPr="000459D6">
        <w:rPr>
          <w:bCs/>
        </w:rPr>
        <w:t xml:space="preserve">adekwatne zarządzanie kapitałem w celu zapewnienia bezpiecznego wzrostu </w:t>
      </w:r>
      <w:r w:rsidR="00E95B6C" w:rsidRPr="000459D6">
        <w:rPr>
          <w:bCs/>
        </w:rPr>
        <w:t>portfela kredytowego</w:t>
      </w:r>
      <w:r w:rsidRPr="000459D6">
        <w:rPr>
          <w:bCs/>
        </w:rPr>
        <w:t>, jak również spełnienia wszystkich obecnych i przyszłych wymogów regulacyjnych.</w:t>
      </w:r>
    </w:p>
    <w:p w14:paraId="1EA7906B" w14:textId="04B2F077" w:rsidR="003F0DA1" w:rsidRPr="000459D6" w:rsidRDefault="00E95B6C" w:rsidP="0070161C">
      <w:pPr>
        <w:pStyle w:val="Tekstpodstawowy"/>
        <w:numPr>
          <w:ilvl w:val="0"/>
          <w:numId w:val="18"/>
        </w:numPr>
        <w:spacing w:before="2" w:line="288" w:lineRule="auto"/>
        <w:jc w:val="both"/>
        <w:rPr>
          <w:bCs/>
        </w:rPr>
      </w:pPr>
      <w:r w:rsidRPr="000459D6">
        <w:rPr>
          <w:bCs/>
        </w:rPr>
        <w:t>zwiększenie wolumenu kredytów hipotecznych z uwzględnieniem zielonych aktywów, będących podstawą emisji hipotecznych listów zastawnych,</w:t>
      </w:r>
    </w:p>
    <w:p w14:paraId="5B869A87" w14:textId="1F50B65F" w:rsidR="00E95B6C" w:rsidRPr="000459D6" w:rsidRDefault="00E95B6C" w:rsidP="0070161C">
      <w:pPr>
        <w:pStyle w:val="Tekstpodstawowy"/>
        <w:numPr>
          <w:ilvl w:val="0"/>
          <w:numId w:val="18"/>
        </w:numPr>
        <w:spacing w:before="2" w:line="288" w:lineRule="auto"/>
        <w:jc w:val="both"/>
        <w:rPr>
          <w:bCs/>
        </w:rPr>
      </w:pPr>
      <w:r w:rsidRPr="000459D6">
        <w:rPr>
          <w:bCs/>
        </w:rPr>
        <w:t>pozyskanie finansowania w drodze kolejnej emisji hipotecznych listów zastawnych,</w:t>
      </w:r>
    </w:p>
    <w:p w14:paraId="55E30B74" w14:textId="35362FA5" w:rsidR="00E95B6C" w:rsidRPr="000459D6" w:rsidRDefault="00E95B6C" w:rsidP="0070161C">
      <w:pPr>
        <w:pStyle w:val="Tekstpodstawowy"/>
        <w:numPr>
          <w:ilvl w:val="0"/>
          <w:numId w:val="18"/>
        </w:numPr>
        <w:spacing w:before="2" w:line="288" w:lineRule="auto"/>
        <w:jc w:val="both"/>
        <w:rPr>
          <w:bCs/>
        </w:rPr>
      </w:pPr>
      <w:r w:rsidRPr="000459D6">
        <w:rPr>
          <w:bCs/>
        </w:rPr>
        <w:t>utrzymanie odpowiedniego poziomu płynnych aktywów,</w:t>
      </w:r>
    </w:p>
    <w:p w14:paraId="7296FE5E" w14:textId="6EAE431D" w:rsidR="003F0DA1" w:rsidRPr="000459D6" w:rsidRDefault="00E95B6C" w:rsidP="0070161C">
      <w:pPr>
        <w:pStyle w:val="Tekstpodstawowy"/>
        <w:numPr>
          <w:ilvl w:val="0"/>
          <w:numId w:val="18"/>
        </w:numPr>
        <w:spacing w:before="2" w:line="288" w:lineRule="auto"/>
        <w:jc w:val="both"/>
        <w:rPr>
          <w:bCs/>
        </w:rPr>
      </w:pPr>
      <w:r w:rsidRPr="000459D6">
        <w:rPr>
          <w:bCs/>
        </w:rPr>
        <w:t xml:space="preserve">dalsza poprawa efektywności kosztowej przy zachowaniu wysokiej jakości procesów poprzez optymalne wykorzystanie istniejących zasobów. </w:t>
      </w:r>
    </w:p>
    <w:p w14:paraId="000C05BF" w14:textId="77777777" w:rsidR="00E95B6C" w:rsidRPr="000459D6" w:rsidRDefault="00E95B6C" w:rsidP="0070161C">
      <w:pPr>
        <w:pStyle w:val="Tekstpodstawowy"/>
        <w:spacing w:before="2" w:line="288" w:lineRule="auto"/>
        <w:jc w:val="both"/>
        <w:rPr>
          <w:bCs/>
        </w:rPr>
      </w:pPr>
    </w:p>
    <w:p w14:paraId="73157060" w14:textId="6C80DE4E" w:rsidR="00E95B6C" w:rsidRPr="000459D6" w:rsidRDefault="00E95B6C" w:rsidP="0070161C">
      <w:pPr>
        <w:pStyle w:val="Tekstpodstawowy"/>
        <w:spacing w:before="2" w:line="288" w:lineRule="auto"/>
        <w:jc w:val="both"/>
        <w:rPr>
          <w:bCs/>
        </w:rPr>
      </w:pPr>
      <w:r w:rsidRPr="000459D6">
        <w:rPr>
          <w:bCs/>
        </w:rPr>
        <w:t xml:space="preserve">W ocenie Rady Nadzorczej, dotychczasowa strategia zwiększania skali działania, </w:t>
      </w:r>
      <w:r w:rsidR="000E1763">
        <w:rPr>
          <w:bCs/>
        </w:rPr>
        <w:t>przy zachowaniu konserwatywnego i bezpiecznego podejścia Banku, które uwzględnia bieżącą analizę sytuacji zewnętrznej</w:t>
      </w:r>
      <w:r w:rsidR="002728CE">
        <w:rPr>
          <w:bCs/>
        </w:rPr>
        <w:t>,</w:t>
      </w:r>
      <w:bookmarkStart w:id="0" w:name="_GoBack"/>
      <w:bookmarkEnd w:id="0"/>
      <w:r w:rsidR="000E1763">
        <w:rPr>
          <w:bCs/>
        </w:rPr>
        <w:t xml:space="preserve"> </w:t>
      </w:r>
      <w:r w:rsidR="006F27A9">
        <w:rPr>
          <w:bCs/>
        </w:rPr>
        <w:t>buduje dobre podwaliny pod stabilny rozwój</w:t>
      </w:r>
      <w:r w:rsidR="002728CE">
        <w:rPr>
          <w:bCs/>
        </w:rPr>
        <w:t xml:space="preserve"> Banku oraz </w:t>
      </w:r>
      <w:r w:rsidR="006F27A9">
        <w:rPr>
          <w:bCs/>
        </w:rPr>
        <w:t xml:space="preserve">generowanie </w:t>
      </w:r>
      <w:r w:rsidR="0053679C">
        <w:rPr>
          <w:bCs/>
        </w:rPr>
        <w:t xml:space="preserve">przez niego </w:t>
      </w:r>
      <w:r w:rsidR="006F27A9">
        <w:rPr>
          <w:bCs/>
        </w:rPr>
        <w:t xml:space="preserve">dobrych </w:t>
      </w:r>
      <w:r w:rsidRPr="000459D6">
        <w:rPr>
          <w:bCs/>
        </w:rPr>
        <w:t>wyników finansowych w kolejnych okresach sprawozdawczych.</w:t>
      </w:r>
    </w:p>
    <w:p w14:paraId="335E75DA" w14:textId="19F35347" w:rsidR="001609EE" w:rsidRDefault="007E2EE9" w:rsidP="00895A0B">
      <w:pPr>
        <w:pStyle w:val="Tekstpodstawowy"/>
        <w:spacing w:before="2" w:line="288" w:lineRule="auto"/>
        <w:jc w:val="both"/>
      </w:pPr>
      <w:r w:rsidRPr="000459D6">
        <w:rPr>
          <w:bCs/>
        </w:rPr>
        <w:t>W roku 202</w:t>
      </w:r>
      <w:r w:rsidR="00823284" w:rsidRPr="000459D6">
        <w:rPr>
          <w:bCs/>
        </w:rPr>
        <w:t>2</w:t>
      </w:r>
      <w:r w:rsidR="004B1BE2" w:rsidRPr="000459D6">
        <w:rPr>
          <w:bCs/>
        </w:rPr>
        <w:t xml:space="preserve"> Bank będzie kontynuował przyjętą strategię </w:t>
      </w:r>
      <w:r w:rsidR="00E95B6C" w:rsidRPr="000459D6">
        <w:rPr>
          <w:bCs/>
        </w:rPr>
        <w:t xml:space="preserve">przy </w:t>
      </w:r>
      <w:r w:rsidR="004B1BE2" w:rsidRPr="000459D6">
        <w:rPr>
          <w:bCs/>
        </w:rPr>
        <w:t xml:space="preserve">jednoczesnym </w:t>
      </w:r>
      <w:r w:rsidR="00E95B6C" w:rsidRPr="000459D6">
        <w:rPr>
          <w:bCs/>
        </w:rPr>
        <w:t xml:space="preserve">zachowaniu </w:t>
      </w:r>
      <w:r w:rsidR="004B1BE2" w:rsidRPr="000459D6">
        <w:rPr>
          <w:bCs/>
        </w:rPr>
        <w:t xml:space="preserve">adekwatnej bazy kapitałowej w stosunku do planowanego wzrostu </w:t>
      </w:r>
      <w:r w:rsidR="00DB347C" w:rsidRPr="000459D6">
        <w:rPr>
          <w:bCs/>
        </w:rPr>
        <w:t xml:space="preserve">wolumenu </w:t>
      </w:r>
      <w:r w:rsidR="004B1BE2" w:rsidRPr="000459D6">
        <w:rPr>
          <w:bCs/>
        </w:rPr>
        <w:t xml:space="preserve">kredytów hipotecznych. </w:t>
      </w:r>
    </w:p>
    <w:sectPr w:rsidR="001609EE">
      <w:headerReference w:type="default" r:id="rId11"/>
      <w:footerReference w:type="default" r:id="rId12"/>
      <w:pgSz w:w="11910" w:h="16840"/>
      <w:pgMar w:top="1660" w:right="1300" w:bottom="1060" w:left="1200" w:header="690" w:footer="87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D4489C" w14:textId="77777777" w:rsidR="00212F7E" w:rsidRDefault="008B73E3">
      <w:r>
        <w:separator/>
      </w:r>
    </w:p>
  </w:endnote>
  <w:endnote w:type="continuationSeparator" w:id="0">
    <w:p w14:paraId="2F867B1A" w14:textId="77777777" w:rsidR="00212F7E" w:rsidRDefault="008B7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G Me">
    <w:altName w:val="ING Me"/>
    <w:panose1 w:val="02000506040000020004"/>
    <w:charset w:val="EE"/>
    <w:family w:val="auto"/>
    <w:pitch w:val="variable"/>
    <w:sig w:usb0="A10002AF" w:usb1="5000607A"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65654A" w14:textId="2C189CED" w:rsidR="00612C2E" w:rsidRDefault="00AA06C3">
    <w:pPr>
      <w:pStyle w:val="Tekstpodstawowy"/>
      <w:spacing w:line="14" w:lineRule="auto"/>
    </w:pPr>
    <w:r>
      <w:rPr>
        <w:noProof/>
        <w:lang w:bidi="ar-SA"/>
      </w:rPr>
      <mc:AlternateContent>
        <mc:Choice Requires="wps">
          <w:drawing>
            <wp:anchor distT="0" distB="0" distL="114300" distR="114300" simplePos="0" relativeHeight="503308928" behindDoc="1" locked="0" layoutInCell="1" allowOverlap="1" wp14:anchorId="5527BC48" wp14:editId="646FB250">
              <wp:simplePos x="0" y="0"/>
              <wp:positionH relativeFrom="page">
                <wp:posOffset>881380</wp:posOffset>
              </wp:positionH>
              <wp:positionV relativeFrom="page">
                <wp:posOffset>9965690</wp:posOffset>
              </wp:positionV>
              <wp:extent cx="5791835" cy="0"/>
              <wp:effectExtent l="5080" t="12065" r="13335" b="698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183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01065E35" id="Line 2" o:spid="_x0000_s1026" style="position:absolute;z-index:-7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9.4pt,784.7pt" to="525.45pt,78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DEYEw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yNQmd64woIqNTWhtroSb2ajabfHVK6aona88jw7WwgLQsZybuUsHEG8Hf9F80ghhy8jm06&#10;NbYLkNAAdIpqnO9q8JNHFA4nT/NsNp5gRG++hBS3RGOd/8x1h4JRYgmcIzA5bpwPREhxCwn3KL0W&#10;UkaxpUJ9iafpfBoTnJaCBWcIc3a/q6RFRxLGJX6xKvA8hll9UCyCtZyw1dX2RMiLDZdLFfCgFKBz&#10;tS7z8GOezlez1Swf5KPpapCndT34tK7ywXSdPU3qcV1VdfYzUMvyohWMcRXY3WYzy/9O++sruUzV&#10;fTrvbUjeo8d+AdnbP5KOWgb5LoOw0+y8tTeNYRxj8PXphHl/3IP9+MCXvwAAAP//AwBQSwMEFAAG&#10;AAgAAAAhADVRKuLgAAAADgEAAA8AAABkcnMvZG93bnJldi54bWxMj81OwzAQhO9IvIO1SNyozU+L&#10;E+JUCARSDwjRVpzdZElC4nUUu0369mwPCG47u6PZb7Ll5DpxwCE0ngxczxQIpMKXDVUGtpuXKw0i&#10;REul7TyhgSMGWObnZ5lNSz/SBx7WsRIcQiG1BuoY+1TKUNTobJj5HolvX35wNrIcKlkOduRw18kb&#10;pRbS2Yb4Q217fKqxaNd7Z+BNy2f/3n4Wx+9x86r1qk3uV1tjLi+mxwcQEaf4Z4YTPqNDzkw7v6cy&#10;iI71rWb0yMN8kdyBOFnUXCUgdr87mWfyf438BwAA//8DAFBLAQItABQABgAIAAAAIQC2gziS/gAA&#10;AOEBAAATAAAAAAAAAAAAAAAAAAAAAABbQ29udGVudF9UeXBlc10ueG1sUEsBAi0AFAAGAAgAAAAh&#10;ADj9If/WAAAAlAEAAAsAAAAAAAAAAAAAAAAALwEAAF9yZWxzLy5yZWxzUEsBAi0AFAAGAAgAAAAh&#10;AA2sMRgTAgAAKAQAAA4AAAAAAAAAAAAAAAAALgIAAGRycy9lMm9Eb2MueG1sUEsBAi0AFAAGAAgA&#10;AAAhADVRKuLgAAAADgEAAA8AAAAAAAAAAAAAAAAAbQQAAGRycy9kb3ducmV2LnhtbFBLBQYAAAAA&#10;BAAEAPMAAAB6BQAAAAA=&#10;" strokeweight=".48pt">
              <w10:wrap anchorx="page" anchory="page"/>
            </v:line>
          </w:pict>
        </mc:Fallback>
      </mc:AlternateContent>
    </w:r>
    <w:r>
      <w:rPr>
        <w:noProof/>
        <w:lang w:bidi="ar-SA"/>
      </w:rPr>
      <mc:AlternateContent>
        <mc:Choice Requires="wps">
          <w:drawing>
            <wp:anchor distT="0" distB="0" distL="114300" distR="114300" simplePos="0" relativeHeight="503308952" behindDoc="1" locked="0" layoutInCell="1" allowOverlap="1" wp14:anchorId="706EF8E9" wp14:editId="3301D428">
              <wp:simplePos x="0" y="0"/>
              <wp:positionH relativeFrom="page">
                <wp:posOffset>6521450</wp:posOffset>
              </wp:positionH>
              <wp:positionV relativeFrom="page">
                <wp:posOffset>9954260</wp:posOffset>
              </wp:positionV>
              <wp:extent cx="167005" cy="155575"/>
              <wp:effectExtent l="0" t="63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04BA7" w14:textId="03943FE6" w:rsidR="00612C2E" w:rsidRDefault="008B73E3">
                          <w:pPr>
                            <w:spacing w:before="20"/>
                            <w:ind w:left="40"/>
                            <w:rPr>
                              <w:sz w:val="16"/>
                            </w:rPr>
                          </w:pPr>
                          <w:r>
                            <w:fldChar w:fldCharType="begin"/>
                          </w:r>
                          <w:r>
                            <w:rPr>
                              <w:sz w:val="16"/>
                            </w:rPr>
                            <w:instrText xml:space="preserve"> PAGE </w:instrText>
                          </w:r>
                          <w:r>
                            <w:fldChar w:fldCharType="separate"/>
                          </w:r>
                          <w:r w:rsidR="002728CE">
                            <w:rPr>
                              <w:noProof/>
                              <w:sz w:val="16"/>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6EF8E9" id="_x0000_t202" coordsize="21600,21600" o:spt="202" path="m,l,21600r21600,l21600,xe">
              <v:stroke joinstyle="miter"/>
              <v:path gradientshapeok="t" o:connecttype="rect"/>
            </v:shapetype>
            <v:shape id="Text Box 1" o:spid="_x0000_s1027" type="#_x0000_t202" style="position:absolute;margin-left:513.5pt;margin-top:783.8pt;width:13.15pt;height:12.25pt;z-index:-7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D3srAIAAK8FAAAOAAAAZHJzL2Uyb0RvYy54bWysVG1vmzAQ/j5p/8Hyd4rJIAmopGpDmCZ1&#10;L1K7H+CACdbAZrYT6Kr9951NSNNWk6ZtfEBn+/zcPXeP7/JqaBt0YEpzKVIcXBCMmChkycUuxV/v&#10;c2+JkTZUlLSRgqX4gWl8tXr75rLvEjaTtWxKphCACJ30XYprY7rE93VRs5bqC9kxAYeVVC01sFQ7&#10;v1S0B/S28WeEzP1eqrJTsmBaw242HuKVw68qVpjPVaWZQU2KITfj/sr9t/bvry5pslO0q3lxTIP+&#10;RRYt5QKCnqAyaijaK/4KquWFklpW5qKQrS+rihfMcQA2AXnB5q6mHXNcoDi6O5VJ/z/Y4tPhi0K8&#10;hN5hJGgLLbpng0E3ckCBrU7f6QSc7jpwMwNsW0/LVHe3svimkZDrmoodu1ZK9jWjJWTnbvpnV0cc&#10;bUG2/UdZQhi6N9IBDZVqLSAUAwE6dOnh1BmbSmFDzheERBgVcBREUbSIbG4+TabLndLmPZMtskaK&#10;FTTegdPDrTaj6+RiYwmZ86ZxzW/Esw3AHHcgNFy1ZzYJ18vHmMSb5WYZeuFsvvFCkmXedb4OvXke&#10;LKLsXbZeZ8FPGzcIk5qXJRM2zKSrIPyzvh0VPiripCwtG15aOJuSVrvtulHoQEHXufuOBTlz85+n&#10;4eoFXF5QCmYhuZnFXj5fLrwwDyMvXpClR4L4Jp6TMA6z/DmlWy7Yv1NCfYrjaBaNWvotN+K+19xo&#10;0nIDk6PhbYqXJyeaWAVuROlaayhvRvusFDb9p1JAu6dGO71aiY5iNcN2OD4MALNa3sryAQSsJAgM&#10;VApTD4xaqh8Y9TBBUqy/76liGDUfBDwCO24mQ03GdjKoKOBqig1Go7k241jad4rvakAen5mQ1/BQ&#10;Ku5E/JQFMLALmAqOy3GC2bFzvnZeT3N29QsAAP//AwBQSwMEFAAGAAgAAAAhAAf1mAfiAAAADwEA&#10;AA8AAABkcnMvZG93bnJldi54bWxMj8FOwzAQRO9I/IO1SNyo3VRNaYhTVQhOSIg0HDg68TaxGq9D&#10;7Lbh73FOcNvZHc2+yXeT7dkFR28cSVguBDCkxmlDrYTP6vXhEZgPirTqHaGEH/SwK25vcpVpd6US&#10;L4fQshhCPlMSuhCGjHPfdGiVX7gBKd6ObrQqRDm2XI/qGsNtzxMhUm6VofihUwM+d9icDmcrYf9F&#10;5Yv5fq8/ymNpqmor6C09SXl/N+2fgAWcwp8ZZvyIDkVkqt2ZtGd91CLZxDIhTut0kwKbPWK9WgGr&#10;5902WQIvcv6/R/ELAAD//wMAUEsBAi0AFAAGAAgAAAAhALaDOJL+AAAA4QEAABMAAAAAAAAAAAAA&#10;AAAAAAAAAFtDb250ZW50X1R5cGVzXS54bWxQSwECLQAUAAYACAAAACEAOP0h/9YAAACUAQAACwAA&#10;AAAAAAAAAAAAAAAvAQAAX3JlbHMvLnJlbHNQSwECLQAUAAYACAAAACEA90g97KwCAACvBQAADgAA&#10;AAAAAAAAAAAAAAAuAgAAZHJzL2Uyb0RvYy54bWxQSwECLQAUAAYACAAAACEAB/WYB+IAAAAPAQAA&#10;DwAAAAAAAAAAAAAAAAAGBQAAZHJzL2Rvd25yZXYueG1sUEsFBgAAAAAEAAQA8wAAABUGAAAAAA==&#10;" filled="f" stroked="f">
              <v:textbox inset="0,0,0,0">
                <w:txbxContent>
                  <w:p w14:paraId="7F804BA7" w14:textId="03943FE6" w:rsidR="00612C2E" w:rsidRDefault="008B73E3">
                    <w:pPr>
                      <w:spacing w:before="20"/>
                      <w:ind w:left="40"/>
                      <w:rPr>
                        <w:sz w:val="16"/>
                      </w:rPr>
                    </w:pPr>
                    <w:r>
                      <w:fldChar w:fldCharType="begin"/>
                    </w:r>
                    <w:r>
                      <w:rPr>
                        <w:sz w:val="16"/>
                      </w:rPr>
                      <w:instrText xml:space="preserve"> PAGE </w:instrText>
                    </w:r>
                    <w:r>
                      <w:fldChar w:fldCharType="separate"/>
                    </w:r>
                    <w:r w:rsidR="002728CE">
                      <w:rPr>
                        <w:noProof/>
                        <w:sz w:val="16"/>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202E18" w14:textId="77777777" w:rsidR="00212F7E" w:rsidRDefault="008B73E3">
      <w:r>
        <w:separator/>
      </w:r>
    </w:p>
  </w:footnote>
  <w:footnote w:type="continuationSeparator" w:id="0">
    <w:p w14:paraId="4CB39207" w14:textId="77777777" w:rsidR="00212F7E" w:rsidRDefault="008B73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2FA76" w14:textId="381CADDF" w:rsidR="00612C2E" w:rsidRDefault="008B73E3">
    <w:pPr>
      <w:pStyle w:val="Tekstpodstawowy"/>
      <w:spacing w:line="14" w:lineRule="auto"/>
    </w:pPr>
    <w:r>
      <w:rPr>
        <w:noProof/>
        <w:lang w:bidi="ar-SA"/>
      </w:rPr>
      <w:drawing>
        <wp:anchor distT="0" distB="0" distL="0" distR="0" simplePos="0" relativeHeight="268427855" behindDoc="1" locked="0" layoutInCell="1" allowOverlap="1" wp14:anchorId="76503471" wp14:editId="7DF8BFC5">
          <wp:simplePos x="0" y="0"/>
          <wp:positionH relativeFrom="page">
            <wp:posOffset>933450</wp:posOffset>
          </wp:positionH>
          <wp:positionV relativeFrom="page">
            <wp:posOffset>438149</wp:posOffset>
          </wp:positionV>
          <wp:extent cx="1381125" cy="342900"/>
          <wp:effectExtent l="0" t="0" r="0" b="0"/>
          <wp:wrapNone/>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381125" cy="342900"/>
                  </a:xfrm>
                  <a:prstGeom prst="rect">
                    <a:avLst/>
                  </a:prstGeom>
                </pic:spPr>
              </pic:pic>
            </a:graphicData>
          </a:graphic>
        </wp:anchor>
      </w:drawing>
    </w:r>
    <w:r w:rsidR="00AA06C3">
      <w:rPr>
        <w:noProof/>
        <w:lang w:bidi="ar-SA"/>
      </w:rPr>
      <mc:AlternateContent>
        <mc:Choice Requires="wps">
          <w:drawing>
            <wp:anchor distT="0" distB="0" distL="114300" distR="114300" simplePos="0" relativeHeight="503308904" behindDoc="1" locked="0" layoutInCell="1" allowOverlap="1" wp14:anchorId="4AE1D7FC" wp14:editId="638D204A">
              <wp:simplePos x="0" y="0"/>
              <wp:positionH relativeFrom="page">
                <wp:posOffset>886460</wp:posOffset>
              </wp:positionH>
              <wp:positionV relativeFrom="page">
                <wp:posOffset>890905</wp:posOffset>
              </wp:positionV>
              <wp:extent cx="2050415" cy="186690"/>
              <wp:effectExtent l="635"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041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4FEBEB" w14:textId="6A1BE1DD" w:rsidR="00612C2E" w:rsidRDefault="00612C2E">
                          <w:pPr>
                            <w:spacing w:before="19"/>
                            <w:ind w:left="20"/>
                            <w:rPr>
                              <w:i/>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E1D7FC" id="_x0000_t202" coordsize="21600,21600" o:spt="202" path="m,l,21600r21600,l21600,xe">
              <v:stroke joinstyle="miter"/>
              <v:path gradientshapeok="t" o:connecttype="rect"/>
            </v:shapetype>
            <v:shape id="Text Box 3" o:spid="_x0000_s1026" type="#_x0000_t202" style="position:absolute;margin-left:69.8pt;margin-top:70.15pt;width:161.45pt;height:14.7pt;z-index:-7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AwxrwIAAKkFAAAOAAAAZHJzL2Uyb0RvYy54bWysVNtunDAQfa/Uf7D8TriEJYDCRsmyVJXS&#10;i5T0A7xgFqtgU9u7kEb9947NsptNXqq2PFiDPT5zZuZ4rm/GrkV7KhUTPMP+hYcR5aWoGN9m+Ntj&#10;4cQYKU14RVrBaYafqMI3y/fvroc+pYFoRFtRiQCEq3ToM9xo3aeuq8qGdkRdiJ5yOKyF7IiGX7l1&#10;K0kGQO9aN/C8yB2ErHopSqoU7ObTIV5a/Lqmpf5S14pq1GYYuGm7SrtuzOour0m6laRvWHmgQf6C&#10;RUcYh6BHqJxognaSvYHqWCmFErW+KEXnirpmJbU5QDa+9yqbh4b01OYCxVH9sUzq/8GWn/dfJWJV&#10;hkOMOOmgRY901OhOjOjSVGfoVQpODz246RG2ocs2U9Xfi/K7QlysGsK39FZKMTSUVMDONzfdF1cn&#10;HGVANsMnUUEYstPCAo217EzpoBgI0KFLT8fOGColbAbewgv9BUYlnPlxFCW2dS5J59u9VPoDFR0y&#10;RoYldN6ik/290oYNSWcXE4yLgrWt7X7LzzbAcdqB2HDVnBkWtpnPiZes43UcOmEQrZ3Qy3PntliF&#10;TlT4V4v8Ml+tcv+XieuHacOqinITZhaWH/5Z4w4SnyRxlJYSLasMnKGk5HazaiXaExB2YT9bczg5&#10;ubnnNGwRIJdXKflB6N0FiVNE8ZUTFuHCSa682PH85C6JvDAJ8+I8pXvG6b+nhIYMJ4tgMYnpRPpV&#10;bp793uZG0o5pGB0t6zIcH51IaiS45pVtrSasnewXpTD0T6WAds+NtoI1Gp3UqsfNCChGxRtRPYF0&#10;pQBlgT5h3oHRCPkTowFmR4bVjx2RFKP2Iwf5m0EzG3I2NrNBeAlXM6wxmsyVngbSrpds2wDy9MC4&#10;uIUnUjOr3hOLw8OCeWCTOMwuM3Be/luv04Rd/gYAAP//AwBQSwMEFAAGAAgAAAAhANE5im3gAAAA&#10;CwEAAA8AAABkcnMvZG93bnJldi54bWxMj8FOwzAQRO9I/IO1SNyoTVsMCXGqCsEJCZGGA0cndhOr&#10;8TrEbhv+nuUEt53d0eybYjP7gZ3sFF1ABbcLAcxiG4zDTsFH/XLzACwmjUYPAa2CbxthU15eFDo3&#10;4YyVPe1SxygEY64V9CmNOeex7a3XcRFGi3Tbh8nrRHLquJn0mcL9wJdCSO61Q/rQ69E+9bY97I5e&#10;wfYTq2f39da8V/vK1XUm8FUelLq+mrePwJKd058ZfvEJHUpiasIRTWQD6VUmyUrDWqyAkWMtl3fA&#10;GtrI7B54WfD/HcofAAAA//8DAFBLAQItABQABgAIAAAAIQC2gziS/gAAAOEBAAATAAAAAAAAAAAA&#10;AAAAAAAAAABbQ29udGVudF9UeXBlc10ueG1sUEsBAi0AFAAGAAgAAAAhADj9If/WAAAAlAEAAAsA&#10;AAAAAAAAAAAAAAAALwEAAF9yZWxzLy5yZWxzUEsBAi0AFAAGAAgAAAAhAHN0DDGvAgAAqQUAAA4A&#10;AAAAAAAAAAAAAAAALgIAAGRycy9lMm9Eb2MueG1sUEsBAi0AFAAGAAgAAAAhANE5im3gAAAACwEA&#10;AA8AAAAAAAAAAAAAAAAACQUAAGRycy9kb3ducmV2LnhtbFBLBQYAAAAABAAEAPMAAAAWBgAAAAA=&#10;" filled="f" stroked="f">
              <v:textbox inset="0,0,0,0">
                <w:txbxContent>
                  <w:p w14:paraId="6C4FEBEB" w14:textId="6A1BE1DD" w:rsidR="00612C2E" w:rsidRDefault="00612C2E">
                    <w:pPr>
                      <w:spacing w:before="19"/>
                      <w:ind w:left="20"/>
                      <w:rPr>
                        <w:i/>
                        <w:sz w:val="20"/>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95B30"/>
    <w:multiLevelType w:val="hybridMultilevel"/>
    <w:tmpl w:val="F35A82E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AF665C"/>
    <w:multiLevelType w:val="hybridMultilevel"/>
    <w:tmpl w:val="60061A88"/>
    <w:lvl w:ilvl="0" w:tplc="4002F922">
      <w:start w:val="1"/>
      <w:numFmt w:val="upperRoman"/>
      <w:lvlText w:val="%1."/>
      <w:lvlJc w:val="left"/>
      <w:pPr>
        <w:ind w:left="499" w:hanging="248"/>
        <w:jc w:val="right"/>
      </w:pPr>
      <w:rPr>
        <w:rFonts w:hint="default"/>
        <w:b/>
        <w:bCs/>
        <w:i w:val="0"/>
        <w:w w:val="99"/>
        <w:lang w:val="pl-PL" w:eastAsia="pl-PL" w:bidi="pl-PL"/>
      </w:rPr>
    </w:lvl>
    <w:lvl w:ilvl="1" w:tplc="9C864858">
      <w:numFmt w:val="bullet"/>
      <w:lvlText w:val="•"/>
      <w:lvlJc w:val="left"/>
      <w:pPr>
        <w:ind w:left="1390" w:hanging="248"/>
      </w:pPr>
      <w:rPr>
        <w:rFonts w:hint="default"/>
        <w:lang w:val="pl-PL" w:eastAsia="pl-PL" w:bidi="pl-PL"/>
      </w:rPr>
    </w:lvl>
    <w:lvl w:ilvl="2" w:tplc="C0400AFC">
      <w:numFmt w:val="bullet"/>
      <w:lvlText w:val="•"/>
      <w:lvlJc w:val="left"/>
      <w:pPr>
        <w:ind w:left="2281" w:hanging="248"/>
      </w:pPr>
      <w:rPr>
        <w:rFonts w:hint="default"/>
        <w:lang w:val="pl-PL" w:eastAsia="pl-PL" w:bidi="pl-PL"/>
      </w:rPr>
    </w:lvl>
    <w:lvl w:ilvl="3" w:tplc="D2C8D9F0">
      <w:numFmt w:val="bullet"/>
      <w:lvlText w:val="•"/>
      <w:lvlJc w:val="left"/>
      <w:pPr>
        <w:ind w:left="3171" w:hanging="248"/>
      </w:pPr>
      <w:rPr>
        <w:rFonts w:hint="default"/>
        <w:lang w:val="pl-PL" w:eastAsia="pl-PL" w:bidi="pl-PL"/>
      </w:rPr>
    </w:lvl>
    <w:lvl w:ilvl="4" w:tplc="8E8054F8">
      <w:numFmt w:val="bullet"/>
      <w:lvlText w:val="•"/>
      <w:lvlJc w:val="left"/>
      <w:pPr>
        <w:ind w:left="4062" w:hanging="248"/>
      </w:pPr>
      <w:rPr>
        <w:rFonts w:hint="default"/>
        <w:lang w:val="pl-PL" w:eastAsia="pl-PL" w:bidi="pl-PL"/>
      </w:rPr>
    </w:lvl>
    <w:lvl w:ilvl="5" w:tplc="15781902">
      <w:numFmt w:val="bullet"/>
      <w:lvlText w:val="•"/>
      <w:lvlJc w:val="left"/>
      <w:pPr>
        <w:ind w:left="4953" w:hanging="248"/>
      </w:pPr>
      <w:rPr>
        <w:rFonts w:hint="default"/>
        <w:lang w:val="pl-PL" w:eastAsia="pl-PL" w:bidi="pl-PL"/>
      </w:rPr>
    </w:lvl>
    <w:lvl w:ilvl="6" w:tplc="D57A2D88">
      <w:numFmt w:val="bullet"/>
      <w:lvlText w:val="•"/>
      <w:lvlJc w:val="left"/>
      <w:pPr>
        <w:ind w:left="5843" w:hanging="248"/>
      </w:pPr>
      <w:rPr>
        <w:rFonts w:hint="default"/>
        <w:lang w:val="pl-PL" w:eastAsia="pl-PL" w:bidi="pl-PL"/>
      </w:rPr>
    </w:lvl>
    <w:lvl w:ilvl="7" w:tplc="0F52395A">
      <w:numFmt w:val="bullet"/>
      <w:lvlText w:val="•"/>
      <w:lvlJc w:val="left"/>
      <w:pPr>
        <w:ind w:left="6734" w:hanging="248"/>
      </w:pPr>
      <w:rPr>
        <w:rFonts w:hint="default"/>
        <w:lang w:val="pl-PL" w:eastAsia="pl-PL" w:bidi="pl-PL"/>
      </w:rPr>
    </w:lvl>
    <w:lvl w:ilvl="8" w:tplc="A742F982">
      <w:numFmt w:val="bullet"/>
      <w:lvlText w:val="•"/>
      <w:lvlJc w:val="left"/>
      <w:pPr>
        <w:ind w:left="7625" w:hanging="248"/>
      </w:pPr>
      <w:rPr>
        <w:rFonts w:hint="default"/>
        <w:lang w:val="pl-PL" w:eastAsia="pl-PL" w:bidi="pl-PL"/>
      </w:rPr>
    </w:lvl>
  </w:abstractNum>
  <w:abstractNum w:abstractNumId="2" w15:restartNumberingAfterBreak="0">
    <w:nsid w:val="0E174C39"/>
    <w:multiLevelType w:val="hybridMultilevel"/>
    <w:tmpl w:val="EFF66C9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05B1584"/>
    <w:multiLevelType w:val="hybridMultilevel"/>
    <w:tmpl w:val="353224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D22AD2"/>
    <w:multiLevelType w:val="hybridMultilevel"/>
    <w:tmpl w:val="E3109C90"/>
    <w:lvl w:ilvl="0" w:tplc="04150011">
      <w:start w:val="1"/>
      <w:numFmt w:val="decimal"/>
      <w:lvlText w:val="%1)"/>
      <w:lvlJc w:val="left"/>
      <w:pPr>
        <w:ind w:left="972" w:hanging="360"/>
      </w:pPr>
    </w:lvl>
    <w:lvl w:ilvl="1" w:tplc="04150019" w:tentative="1">
      <w:start w:val="1"/>
      <w:numFmt w:val="lowerLetter"/>
      <w:lvlText w:val="%2."/>
      <w:lvlJc w:val="left"/>
      <w:pPr>
        <w:ind w:left="1692" w:hanging="360"/>
      </w:pPr>
    </w:lvl>
    <w:lvl w:ilvl="2" w:tplc="0415001B" w:tentative="1">
      <w:start w:val="1"/>
      <w:numFmt w:val="lowerRoman"/>
      <w:lvlText w:val="%3."/>
      <w:lvlJc w:val="right"/>
      <w:pPr>
        <w:ind w:left="2412" w:hanging="180"/>
      </w:pPr>
    </w:lvl>
    <w:lvl w:ilvl="3" w:tplc="0415000F" w:tentative="1">
      <w:start w:val="1"/>
      <w:numFmt w:val="decimal"/>
      <w:lvlText w:val="%4."/>
      <w:lvlJc w:val="left"/>
      <w:pPr>
        <w:ind w:left="3132" w:hanging="360"/>
      </w:pPr>
    </w:lvl>
    <w:lvl w:ilvl="4" w:tplc="04150019" w:tentative="1">
      <w:start w:val="1"/>
      <w:numFmt w:val="lowerLetter"/>
      <w:lvlText w:val="%5."/>
      <w:lvlJc w:val="left"/>
      <w:pPr>
        <w:ind w:left="3852" w:hanging="360"/>
      </w:pPr>
    </w:lvl>
    <w:lvl w:ilvl="5" w:tplc="0415001B" w:tentative="1">
      <w:start w:val="1"/>
      <w:numFmt w:val="lowerRoman"/>
      <w:lvlText w:val="%6."/>
      <w:lvlJc w:val="right"/>
      <w:pPr>
        <w:ind w:left="4572" w:hanging="180"/>
      </w:pPr>
    </w:lvl>
    <w:lvl w:ilvl="6" w:tplc="0415000F" w:tentative="1">
      <w:start w:val="1"/>
      <w:numFmt w:val="decimal"/>
      <w:lvlText w:val="%7."/>
      <w:lvlJc w:val="left"/>
      <w:pPr>
        <w:ind w:left="5292" w:hanging="360"/>
      </w:pPr>
    </w:lvl>
    <w:lvl w:ilvl="7" w:tplc="04150019" w:tentative="1">
      <w:start w:val="1"/>
      <w:numFmt w:val="lowerLetter"/>
      <w:lvlText w:val="%8."/>
      <w:lvlJc w:val="left"/>
      <w:pPr>
        <w:ind w:left="6012" w:hanging="360"/>
      </w:pPr>
    </w:lvl>
    <w:lvl w:ilvl="8" w:tplc="0415001B" w:tentative="1">
      <w:start w:val="1"/>
      <w:numFmt w:val="lowerRoman"/>
      <w:lvlText w:val="%9."/>
      <w:lvlJc w:val="right"/>
      <w:pPr>
        <w:ind w:left="6732" w:hanging="180"/>
      </w:pPr>
    </w:lvl>
  </w:abstractNum>
  <w:abstractNum w:abstractNumId="5" w15:restartNumberingAfterBreak="0">
    <w:nsid w:val="29F95D96"/>
    <w:multiLevelType w:val="hybridMultilevel"/>
    <w:tmpl w:val="0046E300"/>
    <w:lvl w:ilvl="0" w:tplc="0415000F">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6" w15:restartNumberingAfterBreak="0">
    <w:nsid w:val="2C561D79"/>
    <w:multiLevelType w:val="hybridMultilevel"/>
    <w:tmpl w:val="E1343B3E"/>
    <w:lvl w:ilvl="0" w:tplc="04150001">
      <w:start w:val="1"/>
      <w:numFmt w:val="bullet"/>
      <w:lvlText w:val=""/>
      <w:lvlJc w:val="left"/>
      <w:pPr>
        <w:ind w:left="936" w:hanging="360"/>
      </w:pPr>
      <w:rPr>
        <w:rFonts w:ascii="Symbol" w:hAnsi="Symbol" w:hint="default"/>
      </w:rPr>
    </w:lvl>
    <w:lvl w:ilvl="1" w:tplc="04150003" w:tentative="1">
      <w:start w:val="1"/>
      <w:numFmt w:val="bullet"/>
      <w:lvlText w:val="o"/>
      <w:lvlJc w:val="left"/>
      <w:pPr>
        <w:ind w:left="1656" w:hanging="360"/>
      </w:pPr>
      <w:rPr>
        <w:rFonts w:ascii="Courier New" w:hAnsi="Courier New" w:cs="Courier New" w:hint="default"/>
      </w:rPr>
    </w:lvl>
    <w:lvl w:ilvl="2" w:tplc="04150005" w:tentative="1">
      <w:start w:val="1"/>
      <w:numFmt w:val="bullet"/>
      <w:lvlText w:val=""/>
      <w:lvlJc w:val="left"/>
      <w:pPr>
        <w:ind w:left="2376" w:hanging="360"/>
      </w:pPr>
      <w:rPr>
        <w:rFonts w:ascii="Wingdings" w:hAnsi="Wingdings" w:hint="default"/>
      </w:rPr>
    </w:lvl>
    <w:lvl w:ilvl="3" w:tplc="04150001" w:tentative="1">
      <w:start w:val="1"/>
      <w:numFmt w:val="bullet"/>
      <w:lvlText w:val=""/>
      <w:lvlJc w:val="left"/>
      <w:pPr>
        <w:ind w:left="3096" w:hanging="360"/>
      </w:pPr>
      <w:rPr>
        <w:rFonts w:ascii="Symbol" w:hAnsi="Symbol" w:hint="default"/>
      </w:rPr>
    </w:lvl>
    <w:lvl w:ilvl="4" w:tplc="04150003" w:tentative="1">
      <w:start w:val="1"/>
      <w:numFmt w:val="bullet"/>
      <w:lvlText w:val="o"/>
      <w:lvlJc w:val="left"/>
      <w:pPr>
        <w:ind w:left="3816" w:hanging="360"/>
      </w:pPr>
      <w:rPr>
        <w:rFonts w:ascii="Courier New" w:hAnsi="Courier New" w:cs="Courier New" w:hint="default"/>
      </w:rPr>
    </w:lvl>
    <w:lvl w:ilvl="5" w:tplc="04150005" w:tentative="1">
      <w:start w:val="1"/>
      <w:numFmt w:val="bullet"/>
      <w:lvlText w:val=""/>
      <w:lvlJc w:val="left"/>
      <w:pPr>
        <w:ind w:left="4536" w:hanging="360"/>
      </w:pPr>
      <w:rPr>
        <w:rFonts w:ascii="Wingdings" w:hAnsi="Wingdings" w:hint="default"/>
      </w:rPr>
    </w:lvl>
    <w:lvl w:ilvl="6" w:tplc="04150001" w:tentative="1">
      <w:start w:val="1"/>
      <w:numFmt w:val="bullet"/>
      <w:lvlText w:val=""/>
      <w:lvlJc w:val="left"/>
      <w:pPr>
        <w:ind w:left="5256" w:hanging="360"/>
      </w:pPr>
      <w:rPr>
        <w:rFonts w:ascii="Symbol" w:hAnsi="Symbol" w:hint="default"/>
      </w:rPr>
    </w:lvl>
    <w:lvl w:ilvl="7" w:tplc="04150003" w:tentative="1">
      <w:start w:val="1"/>
      <w:numFmt w:val="bullet"/>
      <w:lvlText w:val="o"/>
      <w:lvlJc w:val="left"/>
      <w:pPr>
        <w:ind w:left="5976" w:hanging="360"/>
      </w:pPr>
      <w:rPr>
        <w:rFonts w:ascii="Courier New" w:hAnsi="Courier New" w:cs="Courier New" w:hint="default"/>
      </w:rPr>
    </w:lvl>
    <w:lvl w:ilvl="8" w:tplc="04150005" w:tentative="1">
      <w:start w:val="1"/>
      <w:numFmt w:val="bullet"/>
      <w:lvlText w:val=""/>
      <w:lvlJc w:val="left"/>
      <w:pPr>
        <w:ind w:left="6696" w:hanging="360"/>
      </w:pPr>
      <w:rPr>
        <w:rFonts w:ascii="Wingdings" w:hAnsi="Wingdings" w:hint="default"/>
      </w:rPr>
    </w:lvl>
  </w:abstractNum>
  <w:abstractNum w:abstractNumId="7" w15:restartNumberingAfterBreak="0">
    <w:nsid w:val="3B695A77"/>
    <w:multiLevelType w:val="hybridMultilevel"/>
    <w:tmpl w:val="A34ACA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6F74082"/>
    <w:multiLevelType w:val="hybridMultilevel"/>
    <w:tmpl w:val="100E24C4"/>
    <w:lvl w:ilvl="0" w:tplc="20E44F7E">
      <w:start w:val="1"/>
      <w:numFmt w:val="upperRoman"/>
      <w:lvlText w:val="%1."/>
      <w:lvlJc w:val="left"/>
      <w:pPr>
        <w:ind w:left="972" w:hanging="720"/>
      </w:pPr>
      <w:rPr>
        <w:rFonts w:hint="default"/>
      </w:r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9" w15:restartNumberingAfterBreak="0">
    <w:nsid w:val="4BA53756"/>
    <w:multiLevelType w:val="hybridMultilevel"/>
    <w:tmpl w:val="F0A8E7AA"/>
    <w:lvl w:ilvl="0" w:tplc="0415000F">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10" w15:restartNumberingAfterBreak="0">
    <w:nsid w:val="52BC4A03"/>
    <w:multiLevelType w:val="hybridMultilevel"/>
    <w:tmpl w:val="6D18A4EE"/>
    <w:lvl w:ilvl="0" w:tplc="0415000F">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11" w15:restartNumberingAfterBreak="0">
    <w:nsid w:val="59375E2E"/>
    <w:multiLevelType w:val="hybridMultilevel"/>
    <w:tmpl w:val="9264B14A"/>
    <w:lvl w:ilvl="0" w:tplc="0415000F">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12" w15:restartNumberingAfterBreak="0">
    <w:nsid w:val="64BC4743"/>
    <w:multiLevelType w:val="hybridMultilevel"/>
    <w:tmpl w:val="0D083D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B490BB2"/>
    <w:multiLevelType w:val="hybridMultilevel"/>
    <w:tmpl w:val="B75822AE"/>
    <w:lvl w:ilvl="0" w:tplc="0415000F">
      <w:start w:val="1"/>
      <w:numFmt w:val="decimal"/>
      <w:lvlText w:val="%1."/>
      <w:lvlJc w:val="left"/>
      <w:pPr>
        <w:ind w:left="972" w:hanging="360"/>
      </w:pPr>
    </w:lvl>
    <w:lvl w:ilvl="1" w:tplc="04150019" w:tentative="1">
      <w:start w:val="1"/>
      <w:numFmt w:val="lowerLetter"/>
      <w:lvlText w:val="%2."/>
      <w:lvlJc w:val="left"/>
      <w:pPr>
        <w:ind w:left="1692" w:hanging="360"/>
      </w:pPr>
    </w:lvl>
    <w:lvl w:ilvl="2" w:tplc="0415001B" w:tentative="1">
      <w:start w:val="1"/>
      <w:numFmt w:val="lowerRoman"/>
      <w:lvlText w:val="%3."/>
      <w:lvlJc w:val="right"/>
      <w:pPr>
        <w:ind w:left="2412" w:hanging="180"/>
      </w:pPr>
    </w:lvl>
    <w:lvl w:ilvl="3" w:tplc="0415000F" w:tentative="1">
      <w:start w:val="1"/>
      <w:numFmt w:val="decimal"/>
      <w:lvlText w:val="%4."/>
      <w:lvlJc w:val="left"/>
      <w:pPr>
        <w:ind w:left="3132" w:hanging="360"/>
      </w:pPr>
    </w:lvl>
    <w:lvl w:ilvl="4" w:tplc="04150019" w:tentative="1">
      <w:start w:val="1"/>
      <w:numFmt w:val="lowerLetter"/>
      <w:lvlText w:val="%5."/>
      <w:lvlJc w:val="left"/>
      <w:pPr>
        <w:ind w:left="3852" w:hanging="360"/>
      </w:pPr>
    </w:lvl>
    <w:lvl w:ilvl="5" w:tplc="0415001B" w:tentative="1">
      <w:start w:val="1"/>
      <w:numFmt w:val="lowerRoman"/>
      <w:lvlText w:val="%6."/>
      <w:lvlJc w:val="right"/>
      <w:pPr>
        <w:ind w:left="4572" w:hanging="180"/>
      </w:pPr>
    </w:lvl>
    <w:lvl w:ilvl="6" w:tplc="0415000F" w:tentative="1">
      <w:start w:val="1"/>
      <w:numFmt w:val="decimal"/>
      <w:lvlText w:val="%7."/>
      <w:lvlJc w:val="left"/>
      <w:pPr>
        <w:ind w:left="5292" w:hanging="360"/>
      </w:pPr>
    </w:lvl>
    <w:lvl w:ilvl="7" w:tplc="04150019" w:tentative="1">
      <w:start w:val="1"/>
      <w:numFmt w:val="lowerLetter"/>
      <w:lvlText w:val="%8."/>
      <w:lvlJc w:val="left"/>
      <w:pPr>
        <w:ind w:left="6012" w:hanging="360"/>
      </w:pPr>
    </w:lvl>
    <w:lvl w:ilvl="8" w:tplc="0415001B" w:tentative="1">
      <w:start w:val="1"/>
      <w:numFmt w:val="lowerRoman"/>
      <w:lvlText w:val="%9."/>
      <w:lvlJc w:val="right"/>
      <w:pPr>
        <w:ind w:left="6732" w:hanging="180"/>
      </w:pPr>
    </w:lvl>
  </w:abstractNum>
  <w:abstractNum w:abstractNumId="14" w15:restartNumberingAfterBreak="0">
    <w:nsid w:val="71535BE6"/>
    <w:multiLevelType w:val="hybridMultilevel"/>
    <w:tmpl w:val="B5D66B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15D4F44"/>
    <w:multiLevelType w:val="hybridMultilevel"/>
    <w:tmpl w:val="58C87828"/>
    <w:lvl w:ilvl="0" w:tplc="F154E12C">
      <w:start w:val="1"/>
      <w:numFmt w:val="decimal"/>
      <w:lvlText w:val="%1)"/>
      <w:lvlJc w:val="left"/>
      <w:pPr>
        <w:ind w:left="576" w:hanging="360"/>
      </w:pPr>
      <w:rPr>
        <w:rFonts w:ascii="ING Me" w:eastAsia="ING Me" w:hAnsi="ING Me" w:cs="ING Me" w:hint="default"/>
        <w:w w:val="99"/>
        <w:sz w:val="20"/>
        <w:szCs w:val="20"/>
        <w:lang w:val="pl-PL" w:eastAsia="pl-PL" w:bidi="pl-PL"/>
      </w:rPr>
    </w:lvl>
    <w:lvl w:ilvl="1" w:tplc="16342E10">
      <w:numFmt w:val="bullet"/>
      <w:lvlText w:val="-"/>
      <w:lvlJc w:val="left"/>
      <w:pPr>
        <w:ind w:left="936" w:hanging="360"/>
      </w:pPr>
      <w:rPr>
        <w:rFonts w:ascii="Times New Roman" w:eastAsia="Times New Roman" w:hAnsi="Times New Roman" w:cs="Times New Roman" w:hint="default"/>
        <w:w w:val="99"/>
        <w:sz w:val="20"/>
        <w:szCs w:val="20"/>
        <w:lang w:val="pl-PL" w:eastAsia="pl-PL" w:bidi="pl-PL"/>
      </w:rPr>
    </w:lvl>
    <w:lvl w:ilvl="2" w:tplc="8BE2C7E6">
      <w:numFmt w:val="bullet"/>
      <w:lvlText w:val="•"/>
      <w:lvlJc w:val="left"/>
      <w:pPr>
        <w:ind w:left="1880" w:hanging="360"/>
      </w:pPr>
      <w:rPr>
        <w:rFonts w:hint="default"/>
        <w:lang w:val="pl-PL" w:eastAsia="pl-PL" w:bidi="pl-PL"/>
      </w:rPr>
    </w:lvl>
    <w:lvl w:ilvl="3" w:tplc="788C20FC">
      <w:numFmt w:val="bullet"/>
      <w:lvlText w:val="•"/>
      <w:lvlJc w:val="left"/>
      <w:pPr>
        <w:ind w:left="2821" w:hanging="360"/>
      </w:pPr>
      <w:rPr>
        <w:rFonts w:hint="default"/>
        <w:lang w:val="pl-PL" w:eastAsia="pl-PL" w:bidi="pl-PL"/>
      </w:rPr>
    </w:lvl>
    <w:lvl w:ilvl="4" w:tplc="E3A0002C">
      <w:numFmt w:val="bullet"/>
      <w:lvlText w:val="•"/>
      <w:lvlJc w:val="left"/>
      <w:pPr>
        <w:ind w:left="3762" w:hanging="360"/>
      </w:pPr>
      <w:rPr>
        <w:rFonts w:hint="default"/>
        <w:lang w:val="pl-PL" w:eastAsia="pl-PL" w:bidi="pl-PL"/>
      </w:rPr>
    </w:lvl>
    <w:lvl w:ilvl="5" w:tplc="0A7C972A">
      <w:numFmt w:val="bullet"/>
      <w:lvlText w:val="•"/>
      <w:lvlJc w:val="left"/>
      <w:pPr>
        <w:ind w:left="4702" w:hanging="360"/>
      </w:pPr>
      <w:rPr>
        <w:rFonts w:hint="default"/>
        <w:lang w:val="pl-PL" w:eastAsia="pl-PL" w:bidi="pl-PL"/>
      </w:rPr>
    </w:lvl>
    <w:lvl w:ilvl="6" w:tplc="BC1619A8">
      <w:numFmt w:val="bullet"/>
      <w:lvlText w:val="•"/>
      <w:lvlJc w:val="left"/>
      <w:pPr>
        <w:ind w:left="5643" w:hanging="360"/>
      </w:pPr>
      <w:rPr>
        <w:rFonts w:hint="default"/>
        <w:lang w:val="pl-PL" w:eastAsia="pl-PL" w:bidi="pl-PL"/>
      </w:rPr>
    </w:lvl>
    <w:lvl w:ilvl="7" w:tplc="8C287718">
      <w:numFmt w:val="bullet"/>
      <w:lvlText w:val="•"/>
      <w:lvlJc w:val="left"/>
      <w:pPr>
        <w:ind w:left="6584" w:hanging="360"/>
      </w:pPr>
      <w:rPr>
        <w:rFonts w:hint="default"/>
        <w:lang w:val="pl-PL" w:eastAsia="pl-PL" w:bidi="pl-PL"/>
      </w:rPr>
    </w:lvl>
    <w:lvl w:ilvl="8" w:tplc="66681B34">
      <w:numFmt w:val="bullet"/>
      <w:lvlText w:val="•"/>
      <w:lvlJc w:val="left"/>
      <w:pPr>
        <w:ind w:left="7524" w:hanging="360"/>
      </w:pPr>
      <w:rPr>
        <w:rFonts w:hint="default"/>
        <w:lang w:val="pl-PL" w:eastAsia="pl-PL" w:bidi="pl-PL"/>
      </w:rPr>
    </w:lvl>
  </w:abstractNum>
  <w:abstractNum w:abstractNumId="16" w15:restartNumberingAfterBreak="0">
    <w:nsid w:val="747E64B7"/>
    <w:multiLevelType w:val="hybridMultilevel"/>
    <w:tmpl w:val="83D4C99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7883041A"/>
    <w:multiLevelType w:val="hybridMultilevel"/>
    <w:tmpl w:val="2EE2FFBA"/>
    <w:lvl w:ilvl="0" w:tplc="04150011">
      <w:start w:val="1"/>
      <w:numFmt w:val="decimal"/>
      <w:lvlText w:val="%1)"/>
      <w:lvlJc w:val="left"/>
      <w:pPr>
        <w:ind w:left="972" w:hanging="360"/>
      </w:pPr>
    </w:lvl>
    <w:lvl w:ilvl="1" w:tplc="04150019" w:tentative="1">
      <w:start w:val="1"/>
      <w:numFmt w:val="lowerLetter"/>
      <w:lvlText w:val="%2."/>
      <w:lvlJc w:val="left"/>
      <w:pPr>
        <w:ind w:left="1692" w:hanging="360"/>
      </w:pPr>
    </w:lvl>
    <w:lvl w:ilvl="2" w:tplc="0415001B" w:tentative="1">
      <w:start w:val="1"/>
      <w:numFmt w:val="lowerRoman"/>
      <w:lvlText w:val="%3."/>
      <w:lvlJc w:val="right"/>
      <w:pPr>
        <w:ind w:left="2412" w:hanging="180"/>
      </w:pPr>
    </w:lvl>
    <w:lvl w:ilvl="3" w:tplc="0415000F" w:tentative="1">
      <w:start w:val="1"/>
      <w:numFmt w:val="decimal"/>
      <w:lvlText w:val="%4."/>
      <w:lvlJc w:val="left"/>
      <w:pPr>
        <w:ind w:left="3132" w:hanging="360"/>
      </w:pPr>
    </w:lvl>
    <w:lvl w:ilvl="4" w:tplc="04150019" w:tentative="1">
      <w:start w:val="1"/>
      <w:numFmt w:val="lowerLetter"/>
      <w:lvlText w:val="%5."/>
      <w:lvlJc w:val="left"/>
      <w:pPr>
        <w:ind w:left="3852" w:hanging="360"/>
      </w:pPr>
    </w:lvl>
    <w:lvl w:ilvl="5" w:tplc="0415001B" w:tentative="1">
      <w:start w:val="1"/>
      <w:numFmt w:val="lowerRoman"/>
      <w:lvlText w:val="%6."/>
      <w:lvlJc w:val="right"/>
      <w:pPr>
        <w:ind w:left="4572" w:hanging="180"/>
      </w:pPr>
    </w:lvl>
    <w:lvl w:ilvl="6" w:tplc="0415000F" w:tentative="1">
      <w:start w:val="1"/>
      <w:numFmt w:val="decimal"/>
      <w:lvlText w:val="%7."/>
      <w:lvlJc w:val="left"/>
      <w:pPr>
        <w:ind w:left="5292" w:hanging="360"/>
      </w:pPr>
    </w:lvl>
    <w:lvl w:ilvl="7" w:tplc="04150019" w:tentative="1">
      <w:start w:val="1"/>
      <w:numFmt w:val="lowerLetter"/>
      <w:lvlText w:val="%8."/>
      <w:lvlJc w:val="left"/>
      <w:pPr>
        <w:ind w:left="6012" w:hanging="360"/>
      </w:pPr>
    </w:lvl>
    <w:lvl w:ilvl="8" w:tplc="0415001B" w:tentative="1">
      <w:start w:val="1"/>
      <w:numFmt w:val="lowerRoman"/>
      <w:lvlText w:val="%9."/>
      <w:lvlJc w:val="right"/>
      <w:pPr>
        <w:ind w:left="6732" w:hanging="180"/>
      </w:pPr>
    </w:lvl>
  </w:abstractNum>
  <w:abstractNum w:abstractNumId="18" w15:restartNumberingAfterBreak="0">
    <w:nsid w:val="7D1E3530"/>
    <w:multiLevelType w:val="hybridMultilevel"/>
    <w:tmpl w:val="66DEB91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5"/>
  </w:num>
  <w:num w:numId="2">
    <w:abstractNumId w:val="1"/>
  </w:num>
  <w:num w:numId="3">
    <w:abstractNumId w:val="6"/>
  </w:num>
  <w:num w:numId="4">
    <w:abstractNumId w:val="8"/>
  </w:num>
  <w:num w:numId="5">
    <w:abstractNumId w:val="9"/>
  </w:num>
  <w:num w:numId="6">
    <w:abstractNumId w:val="4"/>
  </w:num>
  <w:num w:numId="7">
    <w:abstractNumId w:val="5"/>
  </w:num>
  <w:num w:numId="8">
    <w:abstractNumId w:val="2"/>
  </w:num>
  <w:num w:numId="9">
    <w:abstractNumId w:val="13"/>
  </w:num>
  <w:num w:numId="10">
    <w:abstractNumId w:val="0"/>
  </w:num>
  <w:num w:numId="11">
    <w:abstractNumId w:val="11"/>
  </w:num>
  <w:num w:numId="12">
    <w:abstractNumId w:val="17"/>
  </w:num>
  <w:num w:numId="13">
    <w:abstractNumId w:val="10"/>
  </w:num>
  <w:num w:numId="14">
    <w:abstractNumId w:val="18"/>
  </w:num>
  <w:num w:numId="15">
    <w:abstractNumId w:val="7"/>
  </w:num>
  <w:num w:numId="16">
    <w:abstractNumId w:val="3"/>
  </w:num>
  <w:num w:numId="17">
    <w:abstractNumId w:val="14"/>
  </w:num>
  <w:num w:numId="18">
    <w:abstractNumId w:val="16"/>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C2E"/>
    <w:rsid w:val="000459D6"/>
    <w:rsid w:val="00066AE9"/>
    <w:rsid w:val="000800B1"/>
    <w:rsid w:val="000B0458"/>
    <w:rsid w:val="000B32B4"/>
    <w:rsid w:val="000C5854"/>
    <w:rsid w:val="000E1763"/>
    <w:rsid w:val="000F0279"/>
    <w:rsid w:val="0010262B"/>
    <w:rsid w:val="0011444E"/>
    <w:rsid w:val="00160413"/>
    <w:rsid w:val="001609EE"/>
    <w:rsid w:val="001820B2"/>
    <w:rsid w:val="00197AE3"/>
    <w:rsid w:val="001B5533"/>
    <w:rsid w:val="00212F7E"/>
    <w:rsid w:val="00226528"/>
    <w:rsid w:val="00230944"/>
    <w:rsid w:val="002447D2"/>
    <w:rsid w:val="0026115D"/>
    <w:rsid w:val="002728CE"/>
    <w:rsid w:val="002A2950"/>
    <w:rsid w:val="002D2A85"/>
    <w:rsid w:val="002E552A"/>
    <w:rsid w:val="00324EFB"/>
    <w:rsid w:val="00365039"/>
    <w:rsid w:val="00395B1F"/>
    <w:rsid w:val="003D3EFA"/>
    <w:rsid w:val="003F0DA1"/>
    <w:rsid w:val="0046718A"/>
    <w:rsid w:val="004B1BE2"/>
    <w:rsid w:val="004B53C2"/>
    <w:rsid w:val="004F5856"/>
    <w:rsid w:val="0051168E"/>
    <w:rsid w:val="0053679C"/>
    <w:rsid w:val="00560432"/>
    <w:rsid w:val="00560E63"/>
    <w:rsid w:val="00571234"/>
    <w:rsid w:val="00574806"/>
    <w:rsid w:val="00585CF0"/>
    <w:rsid w:val="005A2E93"/>
    <w:rsid w:val="005B324B"/>
    <w:rsid w:val="005B4D0A"/>
    <w:rsid w:val="005C0228"/>
    <w:rsid w:val="005D2F60"/>
    <w:rsid w:val="005E00FA"/>
    <w:rsid w:val="00612C2E"/>
    <w:rsid w:val="006343B2"/>
    <w:rsid w:val="00663F82"/>
    <w:rsid w:val="006766F7"/>
    <w:rsid w:val="006944CA"/>
    <w:rsid w:val="00694776"/>
    <w:rsid w:val="006F27A9"/>
    <w:rsid w:val="0070161C"/>
    <w:rsid w:val="0071717D"/>
    <w:rsid w:val="00741F94"/>
    <w:rsid w:val="00757B45"/>
    <w:rsid w:val="00784A8C"/>
    <w:rsid w:val="00793E4D"/>
    <w:rsid w:val="007E2EE9"/>
    <w:rsid w:val="007F13D4"/>
    <w:rsid w:val="007F2F1E"/>
    <w:rsid w:val="0080568D"/>
    <w:rsid w:val="00823148"/>
    <w:rsid w:val="00823284"/>
    <w:rsid w:val="00842A2D"/>
    <w:rsid w:val="008579C1"/>
    <w:rsid w:val="00876AC7"/>
    <w:rsid w:val="00876AD1"/>
    <w:rsid w:val="00895A0B"/>
    <w:rsid w:val="008B73E3"/>
    <w:rsid w:val="008E7027"/>
    <w:rsid w:val="00904A51"/>
    <w:rsid w:val="009223BE"/>
    <w:rsid w:val="00936948"/>
    <w:rsid w:val="00963FB0"/>
    <w:rsid w:val="00965183"/>
    <w:rsid w:val="00976347"/>
    <w:rsid w:val="00983BA3"/>
    <w:rsid w:val="009C7651"/>
    <w:rsid w:val="009D0204"/>
    <w:rsid w:val="009E414F"/>
    <w:rsid w:val="009F2449"/>
    <w:rsid w:val="00A00D3A"/>
    <w:rsid w:val="00A03D21"/>
    <w:rsid w:val="00A404B6"/>
    <w:rsid w:val="00A6243B"/>
    <w:rsid w:val="00A71F29"/>
    <w:rsid w:val="00A75A05"/>
    <w:rsid w:val="00AA06C3"/>
    <w:rsid w:val="00B2062A"/>
    <w:rsid w:val="00B46582"/>
    <w:rsid w:val="00B72EA9"/>
    <w:rsid w:val="00BA725A"/>
    <w:rsid w:val="00BC272C"/>
    <w:rsid w:val="00C02B46"/>
    <w:rsid w:val="00C67F06"/>
    <w:rsid w:val="00C77D7D"/>
    <w:rsid w:val="00C958EF"/>
    <w:rsid w:val="00CA650F"/>
    <w:rsid w:val="00CE3D80"/>
    <w:rsid w:val="00D47A93"/>
    <w:rsid w:val="00DB347C"/>
    <w:rsid w:val="00DE6614"/>
    <w:rsid w:val="00E434EC"/>
    <w:rsid w:val="00E53A39"/>
    <w:rsid w:val="00E908B3"/>
    <w:rsid w:val="00E95B6C"/>
    <w:rsid w:val="00EC274A"/>
    <w:rsid w:val="00EC457A"/>
    <w:rsid w:val="00EE53D4"/>
    <w:rsid w:val="00EE5F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24BEEE"/>
  <w15:docId w15:val="{BE975C1C-5B42-49FE-B0C8-8D5E9ABEE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Pr>
      <w:rFonts w:ascii="ING Me" w:eastAsia="ING Me" w:hAnsi="ING Me" w:cs="ING Me"/>
      <w:lang w:val="pl-PL" w:eastAsia="pl-PL" w:bidi="pl-PL"/>
    </w:rPr>
  </w:style>
  <w:style w:type="paragraph" w:styleId="Nagwek1">
    <w:name w:val="heading 1"/>
    <w:basedOn w:val="Normalny"/>
    <w:uiPriority w:val="1"/>
    <w:qFormat/>
    <w:pPr>
      <w:ind w:left="216"/>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Pr>
      <w:sz w:val="20"/>
      <w:szCs w:val="20"/>
    </w:rPr>
  </w:style>
  <w:style w:type="paragraph" w:styleId="Akapitzlist">
    <w:name w:val="List Paragraph"/>
    <w:basedOn w:val="Normalny"/>
    <w:uiPriority w:val="1"/>
    <w:qFormat/>
    <w:pPr>
      <w:ind w:left="936" w:hanging="360"/>
    </w:pPr>
  </w:style>
  <w:style w:type="paragraph" w:customStyle="1" w:styleId="TableParagraph">
    <w:name w:val="Table Paragraph"/>
    <w:basedOn w:val="Normalny"/>
    <w:uiPriority w:val="1"/>
    <w:qFormat/>
  </w:style>
  <w:style w:type="character" w:styleId="Odwoaniedokomentarza">
    <w:name w:val="annotation reference"/>
    <w:basedOn w:val="Domylnaczcionkaakapitu"/>
    <w:uiPriority w:val="99"/>
    <w:semiHidden/>
    <w:unhideWhenUsed/>
    <w:rsid w:val="00842A2D"/>
    <w:rPr>
      <w:sz w:val="16"/>
      <w:szCs w:val="16"/>
    </w:rPr>
  </w:style>
  <w:style w:type="paragraph" w:styleId="Tekstkomentarza">
    <w:name w:val="annotation text"/>
    <w:basedOn w:val="Normalny"/>
    <w:link w:val="TekstkomentarzaZnak"/>
    <w:uiPriority w:val="99"/>
    <w:semiHidden/>
    <w:unhideWhenUsed/>
    <w:rsid w:val="00842A2D"/>
    <w:rPr>
      <w:sz w:val="20"/>
      <w:szCs w:val="20"/>
    </w:rPr>
  </w:style>
  <w:style w:type="character" w:customStyle="1" w:styleId="TekstkomentarzaZnak">
    <w:name w:val="Tekst komentarza Znak"/>
    <w:basedOn w:val="Domylnaczcionkaakapitu"/>
    <w:link w:val="Tekstkomentarza"/>
    <w:uiPriority w:val="99"/>
    <w:semiHidden/>
    <w:rsid w:val="00842A2D"/>
    <w:rPr>
      <w:rFonts w:ascii="ING Me" w:eastAsia="ING Me" w:hAnsi="ING Me" w:cs="ING Me"/>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842A2D"/>
    <w:rPr>
      <w:b/>
      <w:bCs/>
    </w:rPr>
  </w:style>
  <w:style w:type="character" w:customStyle="1" w:styleId="TematkomentarzaZnak">
    <w:name w:val="Temat komentarza Znak"/>
    <w:basedOn w:val="TekstkomentarzaZnak"/>
    <w:link w:val="Tematkomentarza"/>
    <w:uiPriority w:val="99"/>
    <w:semiHidden/>
    <w:rsid w:val="00842A2D"/>
    <w:rPr>
      <w:rFonts w:ascii="ING Me" w:eastAsia="ING Me" w:hAnsi="ING Me" w:cs="ING Me"/>
      <w:b/>
      <w:bCs/>
      <w:sz w:val="20"/>
      <w:szCs w:val="20"/>
      <w:lang w:val="pl-PL" w:eastAsia="pl-PL" w:bidi="pl-PL"/>
    </w:rPr>
  </w:style>
  <w:style w:type="paragraph" w:styleId="Tekstdymka">
    <w:name w:val="Balloon Text"/>
    <w:basedOn w:val="Normalny"/>
    <w:link w:val="TekstdymkaZnak"/>
    <w:uiPriority w:val="99"/>
    <w:semiHidden/>
    <w:unhideWhenUsed/>
    <w:rsid w:val="00842A2D"/>
    <w:rPr>
      <w:rFonts w:ascii="Segoe UI" w:hAnsi="Segoe UI" w:cs="Segoe UI"/>
      <w:sz w:val="18"/>
      <w:szCs w:val="18"/>
    </w:rPr>
  </w:style>
  <w:style w:type="character" w:customStyle="1" w:styleId="TekstdymkaZnak">
    <w:name w:val="Tekst dymka Znak"/>
    <w:basedOn w:val="Domylnaczcionkaakapitu"/>
    <w:link w:val="Tekstdymka"/>
    <w:uiPriority w:val="99"/>
    <w:semiHidden/>
    <w:rsid w:val="00842A2D"/>
    <w:rPr>
      <w:rFonts w:ascii="Segoe UI" w:eastAsia="ING Me" w:hAnsi="Segoe UI" w:cs="Segoe UI"/>
      <w:sz w:val="18"/>
      <w:szCs w:val="18"/>
      <w:lang w:val="pl-PL" w:eastAsia="pl-PL" w:bidi="pl-PL"/>
    </w:rPr>
  </w:style>
  <w:style w:type="character" w:styleId="Hipercze">
    <w:name w:val="Hyperlink"/>
    <w:basedOn w:val="Domylnaczcionkaakapitu"/>
    <w:uiPriority w:val="99"/>
    <w:unhideWhenUsed/>
    <w:rsid w:val="009F2449"/>
    <w:rPr>
      <w:color w:val="0000FF" w:themeColor="hyperlink"/>
      <w:u w:val="single"/>
    </w:rPr>
  </w:style>
  <w:style w:type="paragraph" w:styleId="Nagwek">
    <w:name w:val="header"/>
    <w:basedOn w:val="Normalny"/>
    <w:link w:val="NagwekZnak"/>
    <w:uiPriority w:val="99"/>
    <w:unhideWhenUsed/>
    <w:rsid w:val="0010262B"/>
    <w:pPr>
      <w:tabs>
        <w:tab w:val="center" w:pos="4536"/>
        <w:tab w:val="right" w:pos="9072"/>
      </w:tabs>
    </w:pPr>
  </w:style>
  <w:style w:type="character" w:customStyle="1" w:styleId="NagwekZnak">
    <w:name w:val="Nagłówek Znak"/>
    <w:basedOn w:val="Domylnaczcionkaakapitu"/>
    <w:link w:val="Nagwek"/>
    <w:uiPriority w:val="99"/>
    <w:rsid w:val="0010262B"/>
    <w:rPr>
      <w:rFonts w:ascii="ING Me" w:eastAsia="ING Me" w:hAnsi="ING Me" w:cs="ING Me"/>
      <w:lang w:val="pl-PL" w:eastAsia="pl-PL" w:bidi="pl-PL"/>
    </w:rPr>
  </w:style>
  <w:style w:type="paragraph" w:styleId="Stopka">
    <w:name w:val="footer"/>
    <w:basedOn w:val="Normalny"/>
    <w:link w:val="StopkaZnak"/>
    <w:uiPriority w:val="99"/>
    <w:unhideWhenUsed/>
    <w:rsid w:val="0010262B"/>
    <w:pPr>
      <w:tabs>
        <w:tab w:val="center" w:pos="4536"/>
        <w:tab w:val="right" w:pos="9072"/>
      </w:tabs>
    </w:pPr>
  </w:style>
  <w:style w:type="character" w:customStyle="1" w:styleId="StopkaZnak">
    <w:name w:val="Stopka Znak"/>
    <w:basedOn w:val="Domylnaczcionkaakapitu"/>
    <w:link w:val="Stopka"/>
    <w:uiPriority w:val="99"/>
    <w:rsid w:val="0010262B"/>
    <w:rPr>
      <w:rFonts w:ascii="ING Me" w:eastAsia="ING Me" w:hAnsi="ING Me" w:cs="ING Me"/>
      <w:lang w:val="pl-PL" w:eastAsia="pl-PL" w:bidi="pl-PL"/>
    </w:rPr>
  </w:style>
  <w:style w:type="character" w:customStyle="1" w:styleId="TekstpodstawowyZnak">
    <w:name w:val="Tekst podstawowy Znak"/>
    <w:basedOn w:val="Domylnaczcionkaakapitu"/>
    <w:link w:val="Tekstpodstawowy"/>
    <w:uiPriority w:val="1"/>
    <w:rsid w:val="005C0228"/>
    <w:rPr>
      <w:rFonts w:ascii="ING Me" w:eastAsia="ING Me" w:hAnsi="ING Me" w:cs="ING Me"/>
      <w:sz w:val="20"/>
      <w:szCs w:val="20"/>
      <w:lang w:val="pl-PL" w:eastAsia="pl-PL" w:bidi="pl-PL"/>
    </w:rPr>
  </w:style>
  <w:style w:type="paragraph" w:customStyle="1" w:styleId="Default">
    <w:name w:val="Default"/>
    <w:rsid w:val="0026115D"/>
    <w:pPr>
      <w:widowControl/>
      <w:adjustRightInd w:val="0"/>
    </w:pPr>
    <w:rPr>
      <w:rFonts w:ascii="ING Me" w:hAnsi="ING Me" w:cs="ING Me"/>
      <w:color w:val="000000"/>
      <w:sz w:val="24"/>
      <w:szCs w:val="24"/>
      <w:lang w:val="pl-PL"/>
    </w:rPr>
  </w:style>
  <w:style w:type="table" w:styleId="Tabela-Siatka">
    <w:name w:val="Table Grid"/>
    <w:basedOn w:val="Standardowy"/>
    <w:uiPriority w:val="39"/>
    <w:rsid w:val="00261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153B9783418C74FB79F58E99B805BBB" ma:contentTypeVersion="2" ma:contentTypeDescription="Utwórz nowy dokument." ma:contentTypeScope="" ma:versionID="0376c683b008cdd10529717baafc0689">
  <xsd:schema xmlns:xsd="http://www.w3.org/2001/XMLSchema" xmlns:xs="http://www.w3.org/2001/XMLSchema" xmlns:p="http://schemas.microsoft.com/office/2006/metadata/properties" xmlns:ns2="98d18322-6991-4dfa-890e-d028a004998e" targetNamespace="http://schemas.microsoft.com/office/2006/metadata/properties" ma:root="true" ma:fieldsID="7285138269b81d137c3df700a5ed5f5a" ns2:_="">
    <xsd:import namespace="98d18322-6991-4dfa-890e-d028a004998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d18322-6991-4dfa-890e-d028a004998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9AD3D-7E22-462F-A90D-47466C97BAE2}">
  <ds:schemaRefs>
    <ds:schemaRef ds:uri="http://schemas.microsoft.com/sharepoint/v3/contenttype/forms"/>
  </ds:schemaRefs>
</ds:datastoreItem>
</file>

<file path=customXml/itemProps2.xml><?xml version="1.0" encoding="utf-8"?>
<ds:datastoreItem xmlns:ds="http://schemas.openxmlformats.org/officeDocument/2006/customXml" ds:itemID="{99E71AE0-1EE8-47A2-88C7-A3CBA82B1180}">
  <ds:schemaRefs>
    <ds:schemaRef ds:uri="http://purl.org/dc/terms/"/>
    <ds:schemaRef ds:uri="http://schemas.microsoft.com/office/2006/documentManagement/types"/>
    <ds:schemaRef ds:uri="http://schemas.microsoft.com/office/2006/metadata/properties"/>
    <ds:schemaRef ds:uri="http://purl.org/dc/elements/1.1/"/>
    <ds:schemaRef ds:uri="98d18322-6991-4dfa-890e-d028a004998e"/>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0115F522-713D-4A15-9887-D8C979FE0C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d18322-6991-4dfa-890e-d028a00499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481473-3F8E-4F7A-9F62-6816755A5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1388</Words>
  <Characters>8334</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ING Bank Śląski S.A.</Company>
  <LinksUpToDate>false</LinksUpToDate>
  <CharactersWithSpaces>9703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Kolenda, D. (Daria)</dc:creator>
  <cp:lastModifiedBy>Smolarek, S. (Szymon)</cp:lastModifiedBy>
  <cp:revision>5</cp:revision>
  <dcterms:created xsi:type="dcterms:W3CDTF">2022-03-14T12:38:00Z</dcterms:created>
  <dcterms:modified xsi:type="dcterms:W3CDTF">2022-03-15T08:33:00Z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2019-03-11T00:00:00Z</vt:filetime>
  </property>
  <property fmtid="{D5CDD505-2E9C-101B-9397-08002B2CF9AE}" pid="3" name="LastSaved">
    <vt:filetime>2019-03-11T00:00:00Z</vt:filetime>
  </property>
  <property fmtid="{D5CDD505-2E9C-101B-9397-08002B2CF9AE}" pid="4" name="ContentTypeId">
    <vt:lpwstr>0x0101007153B9783418C74FB79F58E99B805BBB</vt:lpwstr>
  </property>
</Properties>
</file>